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558B3" w14:textId="002B2CE5" w:rsidR="003D1210" w:rsidRDefault="008D58E1" w:rsidP="00C12ED7">
      <w:pPr>
        <w:rPr>
          <w:b/>
          <w:sz w:val="24"/>
          <w:szCs w:val="24"/>
        </w:rPr>
      </w:pPr>
      <w:r>
        <w:rPr>
          <w:noProof/>
        </w:rPr>
        <w:drawing>
          <wp:inline distT="0" distB="0" distL="0" distR="0" wp14:anchorId="6D5F69F4" wp14:editId="3B39B475">
            <wp:extent cx="1020445" cy="105278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827" t="10547" r="37660" b="5930"/>
                    <a:stretch/>
                  </pic:blipFill>
                  <pic:spPr bwMode="auto">
                    <a:xfrm>
                      <a:off x="0" y="0"/>
                      <a:ext cx="1042341" cy="1075372"/>
                    </a:xfrm>
                    <a:prstGeom prst="rect">
                      <a:avLst/>
                    </a:prstGeom>
                    <a:ln>
                      <a:noFill/>
                    </a:ln>
                    <a:extLst>
                      <a:ext uri="{53640926-AAD7-44D8-BBD7-CCE9431645EC}">
                        <a14:shadowObscured xmlns:a14="http://schemas.microsoft.com/office/drawing/2010/main"/>
                      </a:ext>
                    </a:extLst>
                  </pic:spPr>
                </pic:pic>
              </a:graphicData>
            </a:graphic>
          </wp:inline>
        </w:drawing>
      </w:r>
    </w:p>
    <w:p w14:paraId="6CC05C97" w14:textId="77777777" w:rsidR="00C12ED7" w:rsidRDefault="00C12ED7" w:rsidP="00C12ED7">
      <w:pPr>
        <w:jc w:val="both"/>
        <w:rPr>
          <w:b/>
          <w:sz w:val="24"/>
          <w:szCs w:val="24"/>
        </w:rPr>
      </w:pPr>
    </w:p>
    <w:p w14:paraId="4CFFDE3A" w14:textId="2AACEDF7" w:rsidR="00C12ED7" w:rsidRPr="00C12ED7" w:rsidRDefault="00C12ED7" w:rsidP="00C12ED7">
      <w:pPr>
        <w:jc w:val="both"/>
        <w:rPr>
          <w:b/>
          <w:sz w:val="24"/>
          <w:szCs w:val="24"/>
        </w:rPr>
      </w:pPr>
      <w:r>
        <w:rPr>
          <w:sz w:val="24"/>
          <w:szCs w:val="24"/>
        </w:rPr>
        <w:t>September 16</w:t>
      </w:r>
      <w:r w:rsidRPr="00AF54EF">
        <w:rPr>
          <w:sz w:val="24"/>
          <w:szCs w:val="24"/>
        </w:rPr>
        <w:t>, 20</w:t>
      </w:r>
      <w:r>
        <w:rPr>
          <w:sz w:val="24"/>
          <w:szCs w:val="24"/>
        </w:rPr>
        <w:t>20</w:t>
      </w:r>
    </w:p>
    <w:p w14:paraId="20C33DE8" w14:textId="77777777" w:rsidR="00C12ED7" w:rsidRDefault="00C12ED7" w:rsidP="00C12ED7">
      <w:pPr>
        <w:rPr>
          <w:b/>
          <w:bCs/>
          <w:sz w:val="28"/>
          <w:szCs w:val="28"/>
        </w:rPr>
      </w:pPr>
    </w:p>
    <w:p w14:paraId="558DB6AD" w14:textId="0EFD26B9" w:rsidR="00C12ED7" w:rsidRPr="00C12ED7" w:rsidRDefault="00C12ED7" w:rsidP="00C12ED7">
      <w:pPr>
        <w:rPr>
          <w:b/>
          <w:bCs/>
          <w:sz w:val="24"/>
          <w:szCs w:val="24"/>
        </w:rPr>
      </w:pPr>
      <w:r w:rsidRPr="00C12ED7">
        <w:rPr>
          <w:b/>
          <w:bCs/>
          <w:sz w:val="24"/>
          <w:szCs w:val="24"/>
        </w:rPr>
        <w:t>Via Email: rule-comments@sec.gov</w:t>
      </w:r>
    </w:p>
    <w:p w14:paraId="3413593C" w14:textId="7D2AB7AE" w:rsidR="00754098" w:rsidRDefault="00AF54EF" w:rsidP="00C12ED7">
      <w:pPr>
        <w:rPr>
          <w:sz w:val="24"/>
          <w:szCs w:val="24"/>
        </w:rPr>
      </w:pPr>
      <w:r>
        <w:tab/>
      </w:r>
      <w:r>
        <w:tab/>
      </w:r>
      <w:r>
        <w:tab/>
      </w:r>
      <w:r>
        <w:tab/>
      </w:r>
      <w:r>
        <w:tab/>
      </w:r>
      <w:r>
        <w:tab/>
      </w:r>
      <w:r>
        <w:tab/>
      </w:r>
      <w:r w:rsidR="008D58E1">
        <w:tab/>
      </w:r>
      <w:r w:rsidR="008D58E1">
        <w:tab/>
      </w:r>
    </w:p>
    <w:p w14:paraId="7AB39925" w14:textId="77777777" w:rsidR="00856AD3" w:rsidRPr="00AB4060" w:rsidRDefault="00856AD3" w:rsidP="00C12ED7">
      <w:pPr>
        <w:pStyle w:val="NormalWeb"/>
        <w:spacing w:before="0" w:beforeAutospacing="0" w:after="0" w:afterAutospacing="0"/>
        <w:rPr>
          <w:color w:val="000000" w:themeColor="text1"/>
          <w:sz w:val="24"/>
          <w:szCs w:val="24"/>
        </w:rPr>
      </w:pPr>
      <w:r w:rsidRPr="00AB4060">
        <w:rPr>
          <w:color w:val="000000" w:themeColor="text1"/>
          <w:sz w:val="24"/>
          <w:szCs w:val="24"/>
        </w:rPr>
        <w:t>Ms. Vanessa Countryman</w:t>
      </w:r>
      <w:r w:rsidRPr="00AB4060">
        <w:rPr>
          <w:color w:val="000000" w:themeColor="text1"/>
          <w:sz w:val="24"/>
          <w:szCs w:val="24"/>
        </w:rPr>
        <w:br/>
        <w:t>Secretary</w:t>
      </w:r>
      <w:r w:rsidRPr="00AB4060">
        <w:rPr>
          <w:color w:val="000000" w:themeColor="text1"/>
          <w:sz w:val="24"/>
          <w:szCs w:val="24"/>
        </w:rPr>
        <w:br/>
        <w:t xml:space="preserve">U.S. Securities and Exchange Commission </w:t>
      </w:r>
    </w:p>
    <w:p w14:paraId="57071D0C" w14:textId="77777777" w:rsidR="00856AD3" w:rsidRPr="00AB4060" w:rsidRDefault="00856AD3" w:rsidP="00C12ED7">
      <w:pPr>
        <w:pStyle w:val="NormalWeb"/>
        <w:spacing w:before="0" w:beforeAutospacing="0" w:after="0" w:afterAutospacing="0"/>
        <w:rPr>
          <w:color w:val="000000" w:themeColor="text1"/>
          <w:sz w:val="24"/>
          <w:szCs w:val="24"/>
        </w:rPr>
      </w:pPr>
      <w:r w:rsidRPr="00AB4060">
        <w:rPr>
          <w:color w:val="000000" w:themeColor="text1"/>
          <w:sz w:val="24"/>
          <w:szCs w:val="24"/>
        </w:rPr>
        <w:t>100 F Street, NE</w:t>
      </w:r>
      <w:r w:rsidRPr="00AB4060">
        <w:rPr>
          <w:color w:val="000000" w:themeColor="text1"/>
          <w:sz w:val="24"/>
          <w:szCs w:val="24"/>
        </w:rPr>
        <w:br/>
        <w:t xml:space="preserve">Washington, DC 20549 </w:t>
      </w:r>
    </w:p>
    <w:p w14:paraId="46F231E5" w14:textId="77777777" w:rsidR="00856AD3" w:rsidRPr="00AB4060" w:rsidRDefault="00856AD3" w:rsidP="00C12ED7">
      <w:pPr>
        <w:pStyle w:val="NormalWeb"/>
        <w:spacing w:before="0" w:beforeAutospacing="0" w:after="0" w:afterAutospacing="0"/>
        <w:ind w:left="720"/>
        <w:rPr>
          <w:b/>
          <w:bCs/>
          <w:color w:val="000000" w:themeColor="text1"/>
          <w:sz w:val="24"/>
          <w:szCs w:val="24"/>
        </w:rPr>
      </w:pPr>
    </w:p>
    <w:p w14:paraId="06A248D6" w14:textId="77777777" w:rsidR="008D58E1" w:rsidRDefault="008D58E1" w:rsidP="00C12ED7">
      <w:pPr>
        <w:pStyle w:val="NormalWeb"/>
        <w:spacing w:before="0" w:beforeAutospacing="0" w:after="0" w:afterAutospacing="0"/>
        <w:rPr>
          <w:b/>
          <w:bCs/>
          <w:color w:val="000000" w:themeColor="text1"/>
          <w:sz w:val="24"/>
          <w:szCs w:val="24"/>
        </w:rPr>
      </w:pPr>
    </w:p>
    <w:p w14:paraId="0EC826FC" w14:textId="11DDD788" w:rsidR="00856AD3" w:rsidRPr="00C12ED7" w:rsidRDefault="00856AD3" w:rsidP="00C12ED7">
      <w:pPr>
        <w:pStyle w:val="NormalWeb"/>
        <w:spacing w:before="0" w:beforeAutospacing="0" w:after="0" w:afterAutospacing="0"/>
        <w:ind w:left="720"/>
        <w:rPr>
          <w:b/>
          <w:bCs/>
          <w:color w:val="000000" w:themeColor="text1"/>
          <w:sz w:val="28"/>
          <w:szCs w:val="28"/>
        </w:rPr>
      </w:pPr>
      <w:r w:rsidRPr="00C12ED7">
        <w:rPr>
          <w:b/>
          <w:bCs/>
          <w:color w:val="000000" w:themeColor="text1"/>
          <w:sz w:val="28"/>
          <w:szCs w:val="28"/>
        </w:rPr>
        <w:t>Re:</w:t>
      </w:r>
      <w:r w:rsidR="00F76826" w:rsidRPr="00C12ED7">
        <w:rPr>
          <w:sz w:val="28"/>
          <w:szCs w:val="28"/>
        </w:rPr>
        <w:t xml:space="preserve"> </w:t>
      </w:r>
      <w:r w:rsidR="00F76826" w:rsidRPr="00C12ED7">
        <w:rPr>
          <w:b/>
          <w:bCs/>
          <w:color w:val="000000" w:themeColor="text1"/>
          <w:sz w:val="28"/>
          <w:szCs w:val="28"/>
        </w:rPr>
        <w:t>Reporting Threshold for Institutional Investment Managers, Release No. 34-89290; File No. S7-08-20</w:t>
      </w:r>
    </w:p>
    <w:p w14:paraId="2F8C46E6" w14:textId="77777777" w:rsidR="00856AD3" w:rsidRPr="00AB4060" w:rsidRDefault="00856AD3" w:rsidP="00C12ED7">
      <w:pPr>
        <w:pStyle w:val="NormalWeb"/>
        <w:rPr>
          <w:color w:val="000000" w:themeColor="text1"/>
          <w:sz w:val="24"/>
          <w:szCs w:val="24"/>
        </w:rPr>
      </w:pPr>
      <w:r w:rsidRPr="00AB4060">
        <w:rPr>
          <w:color w:val="000000" w:themeColor="text1"/>
          <w:sz w:val="24"/>
          <w:szCs w:val="24"/>
        </w:rPr>
        <w:t xml:space="preserve">Dear Ms. Countryman: </w:t>
      </w:r>
    </w:p>
    <w:p w14:paraId="60CFB39A" w14:textId="7D1FCD98" w:rsidR="00DB7BA6" w:rsidRDefault="00DB7BA6" w:rsidP="00C12ED7">
      <w:pPr>
        <w:rPr>
          <w:sz w:val="24"/>
          <w:szCs w:val="24"/>
        </w:rPr>
      </w:pPr>
      <w:r>
        <w:rPr>
          <w:sz w:val="24"/>
          <w:szCs w:val="24"/>
        </w:rPr>
        <w:t xml:space="preserve">The undersigned individuals, who are </w:t>
      </w:r>
      <w:r w:rsidR="004E0C49">
        <w:rPr>
          <w:sz w:val="24"/>
          <w:szCs w:val="24"/>
        </w:rPr>
        <w:t xml:space="preserve">part of </w:t>
      </w:r>
      <w:r>
        <w:rPr>
          <w:sz w:val="24"/>
          <w:szCs w:val="24"/>
        </w:rPr>
        <w:t>the leadership of the National Investor Relations Institute (NIRI)</w:t>
      </w:r>
      <w:r w:rsidR="008E72B0">
        <w:rPr>
          <w:sz w:val="24"/>
          <w:szCs w:val="24"/>
        </w:rPr>
        <w:t xml:space="preserve"> </w:t>
      </w:r>
      <w:r w:rsidR="0032735E">
        <w:rPr>
          <w:sz w:val="24"/>
          <w:szCs w:val="24"/>
        </w:rPr>
        <w:t>Connecticut/Westchester County</w:t>
      </w:r>
      <w:r>
        <w:rPr>
          <w:sz w:val="24"/>
          <w:szCs w:val="24"/>
        </w:rPr>
        <w:t xml:space="preserve"> Chapter, are writing, on behalf of the chapter, to express opposition to the Commission’s proposed amendments to the 13F disclosure rules.  </w:t>
      </w:r>
    </w:p>
    <w:p w14:paraId="360D78C2" w14:textId="77777777" w:rsidR="00DB7BA6" w:rsidRDefault="00DB7BA6" w:rsidP="00C12ED7">
      <w:pPr>
        <w:rPr>
          <w:sz w:val="24"/>
          <w:szCs w:val="24"/>
        </w:rPr>
      </w:pPr>
    </w:p>
    <w:p w14:paraId="73520033" w14:textId="12EDD612" w:rsidR="00DB7BA6" w:rsidRDefault="00DB7BA6" w:rsidP="00C12ED7">
      <w:pPr>
        <w:rPr>
          <w:sz w:val="24"/>
          <w:szCs w:val="24"/>
        </w:rPr>
      </w:pPr>
      <w:r>
        <w:rPr>
          <w:sz w:val="24"/>
          <w:szCs w:val="24"/>
        </w:rPr>
        <w:t xml:space="preserve">We represent members who are investor relations officers </w:t>
      </w:r>
      <w:r w:rsidR="0032735E">
        <w:rPr>
          <w:sz w:val="24"/>
          <w:szCs w:val="24"/>
        </w:rPr>
        <w:t>of</w:t>
      </w:r>
      <w:r>
        <w:rPr>
          <w:sz w:val="24"/>
          <w:szCs w:val="24"/>
        </w:rPr>
        <w:t xml:space="preserve"> public companies headquartered in </w:t>
      </w:r>
      <w:r w:rsidR="0032735E">
        <w:rPr>
          <w:sz w:val="24"/>
          <w:szCs w:val="24"/>
        </w:rPr>
        <w:t>Connecticut and Westchester County, New York.</w:t>
      </w:r>
      <w:r>
        <w:rPr>
          <w:sz w:val="24"/>
          <w:szCs w:val="24"/>
        </w:rPr>
        <w:t xml:space="preserve"> These companies, listed on the New York Stock Exchange and the Nasdaq, have a combined market capitalization of </w:t>
      </w:r>
      <w:r w:rsidR="0032735E">
        <w:rPr>
          <w:sz w:val="24"/>
          <w:szCs w:val="24"/>
        </w:rPr>
        <w:t>over</w:t>
      </w:r>
      <w:r>
        <w:rPr>
          <w:sz w:val="24"/>
          <w:szCs w:val="24"/>
        </w:rPr>
        <w:t xml:space="preserve"> </w:t>
      </w:r>
      <w:r w:rsidR="0032735E">
        <w:rPr>
          <w:sz w:val="24"/>
          <w:szCs w:val="24"/>
        </w:rPr>
        <w:t xml:space="preserve">$500 </w:t>
      </w:r>
      <w:r>
        <w:rPr>
          <w:sz w:val="24"/>
          <w:szCs w:val="24"/>
        </w:rPr>
        <w:t xml:space="preserve">billion.  </w:t>
      </w:r>
      <w:bookmarkStart w:id="0" w:name="_Hlk31205510"/>
      <w:r>
        <w:rPr>
          <w:sz w:val="24"/>
          <w:szCs w:val="24"/>
        </w:rPr>
        <w:t>We also represent investor relations counselors who advise other public companies across the country</w:t>
      </w:r>
      <w:r w:rsidR="00AD15BB">
        <w:rPr>
          <w:sz w:val="24"/>
          <w:szCs w:val="24"/>
        </w:rPr>
        <w:t xml:space="preserve"> and in other countries, including </w:t>
      </w:r>
      <w:r w:rsidR="00D56E8A">
        <w:rPr>
          <w:sz w:val="24"/>
          <w:szCs w:val="24"/>
        </w:rPr>
        <w:t xml:space="preserve">counselors </w:t>
      </w:r>
      <w:r w:rsidR="009245FD">
        <w:rPr>
          <w:sz w:val="24"/>
          <w:szCs w:val="24"/>
        </w:rPr>
        <w:t>that provide stock surveillance and shareholder targeting analysis</w:t>
      </w:r>
      <w:r>
        <w:rPr>
          <w:sz w:val="24"/>
          <w:szCs w:val="24"/>
        </w:rPr>
        <w:t xml:space="preserve">.  </w:t>
      </w:r>
      <w:r>
        <w:rPr>
          <w:sz w:val="24"/>
          <w:szCs w:val="24"/>
        </w:rPr>
        <w:br/>
      </w:r>
    </w:p>
    <w:bookmarkEnd w:id="0"/>
    <w:p w14:paraId="4503D6F2" w14:textId="1E7E997B" w:rsidR="00BD4005" w:rsidRDefault="00DA4929" w:rsidP="00C12ED7">
      <w:pPr>
        <w:rPr>
          <w:color w:val="000000" w:themeColor="text1"/>
          <w:sz w:val="24"/>
          <w:szCs w:val="24"/>
        </w:rPr>
      </w:pPr>
      <w:r>
        <w:rPr>
          <w:color w:val="000000" w:themeColor="text1"/>
          <w:sz w:val="24"/>
          <w:szCs w:val="24"/>
        </w:rPr>
        <w:t>W</w:t>
      </w:r>
      <w:r w:rsidR="00F76826">
        <w:rPr>
          <w:color w:val="000000" w:themeColor="text1"/>
          <w:sz w:val="24"/>
          <w:szCs w:val="24"/>
        </w:rPr>
        <w:t>e urge the Commission to withdraw this proposal and instead consider the</w:t>
      </w:r>
      <w:r w:rsidR="0012130F">
        <w:rPr>
          <w:color w:val="000000" w:themeColor="text1"/>
          <w:sz w:val="24"/>
          <w:szCs w:val="24"/>
        </w:rPr>
        <w:t xml:space="preserve"> reforms </w:t>
      </w:r>
      <w:r w:rsidR="00F76826">
        <w:rPr>
          <w:color w:val="000000" w:themeColor="text1"/>
          <w:sz w:val="24"/>
          <w:szCs w:val="24"/>
        </w:rPr>
        <w:t xml:space="preserve">that </w:t>
      </w:r>
      <w:r w:rsidR="0012130F">
        <w:rPr>
          <w:color w:val="000000" w:themeColor="text1"/>
          <w:sz w:val="24"/>
          <w:szCs w:val="24"/>
        </w:rPr>
        <w:t>were detailed in</w:t>
      </w:r>
      <w:r w:rsidR="00BD4005">
        <w:rPr>
          <w:color w:val="000000" w:themeColor="text1"/>
          <w:sz w:val="24"/>
          <w:szCs w:val="24"/>
        </w:rPr>
        <w:t xml:space="preserve"> rulemaking petitions </w:t>
      </w:r>
      <w:r w:rsidR="00043D90">
        <w:rPr>
          <w:color w:val="000000" w:themeColor="text1"/>
          <w:sz w:val="24"/>
          <w:szCs w:val="24"/>
        </w:rPr>
        <w:t xml:space="preserve">submitted </w:t>
      </w:r>
      <w:r w:rsidR="00BD4005">
        <w:rPr>
          <w:color w:val="000000" w:themeColor="text1"/>
          <w:sz w:val="24"/>
          <w:szCs w:val="24"/>
        </w:rPr>
        <w:t xml:space="preserve">by </w:t>
      </w:r>
      <w:r w:rsidR="00DB7BA6">
        <w:rPr>
          <w:color w:val="000000" w:themeColor="text1"/>
          <w:sz w:val="24"/>
          <w:szCs w:val="24"/>
        </w:rPr>
        <w:t>our parent organization, the National Investor Relations Institute (</w:t>
      </w:r>
      <w:r w:rsidR="00F76826">
        <w:rPr>
          <w:color w:val="000000" w:themeColor="text1"/>
          <w:sz w:val="24"/>
          <w:szCs w:val="24"/>
        </w:rPr>
        <w:t>NIRI</w:t>
      </w:r>
      <w:r w:rsidR="00DB7BA6">
        <w:rPr>
          <w:color w:val="000000" w:themeColor="text1"/>
          <w:sz w:val="24"/>
          <w:szCs w:val="24"/>
        </w:rPr>
        <w:t>)</w:t>
      </w:r>
      <w:r w:rsidR="004D05A0">
        <w:rPr>
          <w:color w:val="000000" w:themeColor="text1"/>
          <w:sz w:val="24"/>
          <w:szCs w:val="24"/>
        </w:rPr>
        <w:t>, NYSE, Nasdaq,</w:t>
      </w:r>
      <w:r w:rsidR="00DB7BA6">
        <w:rPr>
          <w:color w:val="000000" w:themeColor="text1"/>
          <w:sz w:val="24"/>
          <w:szCs w:val="24"/>
        </w:rPr>
        <w:t xml:space="preserve"> and other organizations</w:t>
      </w:r>
      <w:r w:rsidR="00F76826">
        <w:rPr>
          <w:color w:val="000000" w:themeColor="text1"/>
          <w:sz w:val="24"/>
          <w:szCs w:val="24"/>
        </w:rPr>
        <w:t>.</w:t>
      </w:r>
      <w:r w:rsidR="00AE3949">
        <w:rPr>
          <w:rStyle w:val="FootnoteReference"/>
          <w:color w:val="000000" w:themeColor="text1"/>
          <w:sz w:val="24"/>
          <w:szCs w:val="24"/>
        </w:rPr>
        <w:footnoteReference w:id="1"/>
      </w:r>
      <w:r w:rsidR="00ED0A29">
        <w:rPr>
          <w:color w:val="000000" w:themeColor="text1"/>
          <w:sz w:val="24"/>
          <w:szCs w:val="24"/>
        </w:rPr>
        <w:t xml:space="preserve"> </w:t>
      </w:r>
      <w:r w:rsidR="00DF5A25">
        <w:rPr>
          <w:color w:val="000000" w:themeColor="text1"/>
          <w:sz w:val="24"/>
          <w:szCs w:val="24"/>
        </w:rPr>
        <w:t>Rather than</w:t>
      </w:r>
      <w:r w:rsidR="00BD4005">
        <w:rPr>
          <w:color w:val="000000" w:themeColor="text1"/>
          <w:sz w:val="24"/>
          <w:szCs w:val="24"/>
        </w:rPr>
        <w:t xml:space="preserve"> allow </w:t>
      </w:r>
      <w:r w:rsidR="00AD3616">
        <w:rPr>
          <w:color w:val="000000" w:themeColor="text1"/>
          <w:sz w:val="24"/>
          <w:szCs w:val="24"/>
        </w:rPr>
        <w:t xml:space="preserve">4,500 </w:t>
      </w:r>
      <w:r w:rsidR="00BD4005">
        <w:rPr>
          <w:color w:val="000000" w:themeColor="text1"/>
          <w:sz w:val="24"/>
          <w:szCs w:val="24"/>
        </w:rPr>
        <w:lastRenderedPageBreak/>
        <w:t>current 13F filers to go dark, we urge the Commission to reduce the archaic 45-day</w:t>
      </w:r>
      <w:r w:rsidR="0012130F">
        <w:rPr>
          <w:color w:val="000000" w:themeColor="text1"/>
          <w:sz w:val="24"/>
          <w:szCs w:val="24"/>
        </w:rPr>
        <w:t xml:space="preserve"> </w:t>
      </w:r>
      <w:r w:rsidR="00BD4005">
        <w:rPr>
          <w:color w:val="000000" w:themeColor="text1"/>
          <w:sz w:val="24"/>
          <w:szCs w:val="24"/>
        </w:rPr>
        <w:t xml:space="preserve">reporting period, require 13F </w:t>
      </w:r>
      <w:r w:rsidR="0012130F">
        <w:rPr>
          <w:color w:val="000000" w:themeColor="text1"/>
          <w:sz w:val="24"/>
          <w:szCs w:val="24"/>
        </w:rPr>
        <w:t xml:space="preserve">filers </w:t>
      </w:r>
      <w:r w:rsidR="00BD4005">
        <w:rPr>
          <w:color w:val="000000" w:themeColor="text1"/>
          <w:sz w:val="24"/>
          <w:szCs w:val="24"/>
        </w:rPr>
        <w:t xml:space="preserve">to disclose short positions, and </w:t>
      </w:r>
      <w:r w:rsidR="001265E0">
        <w:rPr>
          <w:color w:val="000000" w:themeColor="text1"/>
          <w:sz w:val="24"/>
          <w:szCs w:val="24"/>
        </w:rPr>
        <w:t xml:space="preserve">support </w:t>
      </w:r>
      <w:r w:rsidR="0012130F">
        <w:rPr>
          <w:color w:val="000000" w:themeColor="text1"/>
          <w:sz w:val="24"/>
          <w:szCs w:val="24"/>
        </w:rPr>
        <w:t xml:space="preserve">legislation to provide for monthly disclosure. </w:t>
      </w:r>
    </w:p>
    <w:p w14:paraId="001D61CE" w14:textId="07A0E720" w:rsidR="004D05A0" w:rsidRDefault="004D05A0" w:rsidP="00C12ED7">
      <w:pPr>
        <w:rPr>
          <w:color w:val="000000" w:themeColor="text1"/>
          <w:sz w:val="24"/>
          <w:szCs w:val="24"/>
        </w:rPr>
      </w:pPr>
    </w:p>
    <w:p w14:paraId="02212B84" w14:textId="1486647A" w:rsidR="00BD068B" w:rsidRDefault="00BD068B" w:rsidP="00C12ED7">
      <w:pPr>
        <w:rPr>
          <w:color w:val="000000" w:themeColor="text1"/>
          <w:sz w:val="24"/>
          <w:szCs w:val="24"/>
        </w:rPr>
      </w:pPr>
      <w:r>
        <w:rPr>
          <w:color w:val="000000" w:themeColor="text1"/>
          <w:sz w:val="24"/>
          <w:szCs w:val="24"/>
        </w:rPr>
        <w:t xml:space="preserve">While we agree that the SEC should modernize its ownership reporting rules, our members believe that the proposed 35-times increase in the 13F threshold would deprive companies and investor relations </w:t>
      </w:r>
      <w:r w:rsidR="00CD20AC">
        <w:rPr>
          <w:color w:val="000000" w:themeColor="text1"/>
          <w:sz w:val="24"/>
          <w:szCs w:val="24"/>
        </w:rPr>
        <w:t xml:space="preserve">professionals the </w:t>
      </w:r>
      <w:r>
        <w:rPr>
          <w:color w:val="000000" w:themeColor="text1"/>
          <w:sz w:val="24"/>
          <w:szCs w:val="24"/>
        </w:rPr>
        <w:t xml:space="preserve">transparency of valuable information that they need for effective issuer-investor engagement and to prepare for </w:t>
      </w:r>
      <w:r w:rsidR="00124788">
        <w:rPr>
          <w:color w:val="000000" w:themeColor="text1"/>
          <w:sz w:val="24"/>
          <w:szCs w:val="24"/>
        </w:rPr>
        <w:t xml:space="preserve">potential </w:t>
      </w:r>
      <w:r>
        <w:rPr>
          <w:color w:val="000000" w:themeColor="text1"/>
          <w:sz w:val="24"/>
          <w:szCs w:val="24"/>
        </w:rPr>
        <w:t xml:space="preserve">shareholder activism.  </w:t>
      </w:r>
      <w:r>
        <w:rPr>
          <w:color w:val="000000" w:themeColor="text1"/>
          <w:sz w:val="24"/>
          <w:szCs w:val="24"/>
        </w:rPr>
        <w:br/>
      </w:r>
    </w:p>
    <w:p w14:paraId="06350558" w14:textId="6DFA645F" w:rsidR="00BD068B" w:rsidRDefault="005429EC" w:rsidP="00C12ED7">
      <w:pPr>
        <w:rPr>
          <w:color w:val="000000" w:themeColor="text1"/>
          <w:sz w:val="24"/>
          <w:szCs w:val="24"/>
        </w:rPr>
      </w:pPr>
      <w:r>
        <w:rPr>
          <w:color w:val="000000" w:themeColor="text1"/>
          <w:sz w:val="24"/>
          <w:szCs w:val="24"/>
        </w:rPr>
        <w:t xml:space="preserve">As part of </w:t>
      </w:r>
      <w:r w:rsidR="00CD20AC">
        <w:rPr>
          <w:color w:val="000000" w:themeColor="text1"/>
          <w:sz w:val="24"/>
          <w:szCs w:val="24"/>
        </w:rPr>
        <w:t xml:space="preserve">the </w:t>
      </w:r>
      <w:r>
        <w:rPr>
          <w:color w:val="000000" w:themeColor="text1"/>
          <w:sz w:val="24"/>
          <w:szCs w:val="24"/>
        </w:rPr>
        <w:t xml:space="preserve">investor relations responsibility for effective issuer-investor engagement, </w:t>
      </w:r>
      <w:r w:rsidR="00491EDB">
        <w:rPr>
          <w:color w:val="000000" w:themeColor="text1"/>
          <w:sz w:val="24"/>
          <w:szCs w:val="24"/>
        </w:rPr>
        <w:t xml:space="preserve">one of the most important duties of </w:t>
      </w:r>
      <w:r w:rsidR="00BD068B">
        <w:rPr>
          <w:color w:val="000000" w:themeColor="text1"/>
          <w:sz w:val="24"/>
          <w:szCs w:val="24"/>
        </w:rPr>
        <w:t xml:space="preserve">our members </w:t>
      </w:r>
      <w:r w:rsidR="00491EDB">
        <w:rPr>
          <w:color w:val="000000" w:themeColor="text1"/>
          <w:sz w:val="24"/>
          <w:szCs w:val="24"/>
        </w:rPr>
        <w:t xml:space="preserve">is to </w:t>
      </w:r>
      <w:r w:rsidR="00BD068B">
        <w:rPr>
          <w:color w:val="000000" w:themeColor="text1"/>
          <w:sz w:val="24"/>
          <w:szCs w:val="24"/>
        </w:rPr>
        <w:t xml:space="preserve">advise their C-suite executives on whether to accept a meeting or call request from an institutional investor, and to ascertain the investor’s motive for requesting that meeting. </w:t>
      </w:r>
      <w:r w:rsidR="00491EDB">
        <w:rPr>
          <w:color w:val="000000" w:themeColor="text1"/>
          <w:sz w:val="24"/>
          <w:szCs w:val="24"/>
        </w:rPr>
        <w:t>Our members must assess whether the investor is legi</w:t>
      </w:r>
      <w:r w:rsidR="008E72B0">
        <w:rPr>
          <w:color w:val="000000" w:themeColor="text1"/>
          <w:sz w:val="24"/>
          <w:szCs w:val="24"/>
        </w:rPr>
        <w:t>ti</w:t>
      </w:r>
      <w:r w:rsidR="00491EDB">
        <w:rPr>
          <w:color w:val="000000" w:themeColor="text1"/>
          <w:sz w:val="24"/>
          <w:szCs w:val="24"/>
        </w:rPr>
        <w:t xml:space="preserve">mately interested in initiating or maintaining an </w:t>
      </w:r>
      <w:r w:rsidR="008D58E1">
        <w:rPr>
          <w:color w:val="000000" w:themeColor="text1"/>
          <w:sz w:val="24"/>
          <w:szCs w:val="24"/>
        </w:rPr>
        <w:t>investment or</w:t>
      </w:r>
      <w:r w:rsidR="00491EDB">
        <w:rPr>
          <w:color w:val="000000" w:themeColor="text1"/>
          <w:sz w:val="24"/>
          <w:szCs w:val="24"/>
        </w:rPr>
        <w:t xml:space="preserve"> has an </w:t>
      </w:r>
      <w:r w:rsidR="008E72B0">
        <w:rPr>
          <w:color w:val="000000" w:themeColor="text1"/>
          <w:sz w:val="24"/>
          <w:szCs w:val="24"/>
        </w:rPr>
        <w:t>u</w:t>
      </w:r>
      <w:r w:rsidR="00491EDB">
        <w:rPr>
          <w:color w:val="000000" w:themeColor="text1"/>
          <w:sz w:val="24"/>
          <w:szCs w:val="24"/>
        </w:rPr>
        <w:t xml:space="preserve">lterior motive such as shorting the stock, proposing management change or learning </w:t>
      </w:r>
      <w:r w:rsidR="00FD109C">
        <w:rPr>
          <w:color w:val="000000" w:themeColor="text1"/>
          <w:sz w:val="24"/>
          <w:szCs w:val="24"/>
        </w:rPr>
        <w:t>competitive</w:t>
      </w:r>
      <w:r w:rsidR="00CD20AC">
        <w:rPr>
          <w:color w:val="000000" w:themeColor="text1"/>
          <w:sz w:val="24"/>
          <w:szCs w:val="24"/>
        </w:rPr>
        <w:t xml:space="preserve"> </w:t>
      </w:r>
      <w:r w:rsidR="00491EDB">
        <w:rPr>
          <w:color w:val="000000" w:themeColor="text1"/>
          <w:sz w:val="24"/>
          <w:szCs w:val="24"/>
        </w:rPr>
        <w:t xml:space="preserve">information enabling the investor to invest in another related company. </w:t>
      </w:r>
    </w:p>
    <w:p w14:paraId="09ABF50C" w14:textId="77777777" w:rsidR="00BD068B" w:rsidRDefault="00BD068B" w:rsidP="00C12ED7">
      <w:pPr>
        <w:rPr>
          <w:color w:val="000000" w:themeColor="text1"/>
          <w:sz w:val="24"/>
          <w:szCs w:val="24"/>
        </w:rPr>
      </w:pPr>
    </w:p>
    <w:p w14:paraId="606B368C" w14:textId="77777777" w:rsidR="00FF3D98" w:rsidRDefault="00A048D8" w:rsidP="00C12ED7">
      <w:pPr>
        <w:rPr>
          <w:color w:val="000000" w:themeColor="text1"/>
          <w:sz w:val="24"/>
          <w:szCs w:val="24"/>
        </w:rPr>
      </w:pPr>
      <w:r>
        <w:rPr>
          <w:color w:val="000000" w:themeColor="text1"/>
          <w:sz w:val="24"/>
          <w:szCs w:val="24"/>
        </w:rPr>
        <w:t xml:space="preserve">A key consideration in </w:t>
      </w:r>
      <w:r w:rsidR="00D56E8A">
        <w:rPr>
          <w:color w:val="000000" w:themeColor="text1"/>
          <w:sz w:val="24"/>
          <w:szCs w:val="24"/>
        </w:rPr>
        <w:t xml:space="preserve">advising C-Suite executives </w:t>
      </w:r>
      <w:r>
        <w:rPr>
          <w:color w:val="000000" w:themeColor="text1"/>
          <w:sz w:val="24"/>
          <w:szCs w:val="24"/>
        </w:rPr>
        <w:t xml:space="preserve">is </w:t>
      </w:r>
      <w:r w:rsidR="00D56E8A">
        <w:rPr>
          <w:color w:val="000000" w:themeColor="text1"/>
          <w:sz w:val="24"/>
          <w:szCs w:val="24"/>
        </w:rPr>
        <w:t xml:space="preserve">the knowledge </w:t>
      </w:r>
      <w:r>
        <w:rPr>
          <w:color w:val="000000" w:themeColor="text1"/>
          <w:sz w:val="24"/>
          <w:szCs w:val="24"/>
        </w:rPr>
        <w:t>that the investor actually holds the company’s shares, the size of that position, whether the investor is increasing or decreasing that position, and whether the investor has a track record of activism. To make these determinations, most U.S. issuers rely heavily on the quarterly ownership information in 13F filings, the only accurate source available.</w:t>
      </w:r>
      <w:r w:rsidR="00BD068B" w:rsidRPr="00BD068B">
        <w:rPr>
          <w:rStyle w:val="FootnoteReference"/>
          <w:color w:val="000000" w:themeColor="text1"/>
          <w:sz w:val="24"/>
          <w:szCs w:val="24"/>
        </w:rPr>
        <w:t xml:space="preserve"> </w:t>
      </w:r>
      <w:r w:rsidR="00BD068B">
        <w:rPr>
          <w:rStyle w:val="FootnoteReference"/>
          <w:color w:val="000000" w:themeColor="text1"/>
          <w:sz w:val="24"/>
          <w:szCs w:val="24"/>
        </w:rPr>
        <w:footnoteReference w:id="2"/>
      </w:r>
      <w:r>
        <w:rPr>
          <w:color w:val="000000" w:themeColor="text1"/>
          <w:sz w:val="24"/>
          <w:szCs w:val="24"/>
        </w:rPr>
        <w:t xml:space="preserve"> While some of this information is out of date by the time companies receive it, given the 45-day time lag, this data is nevertheless critical for companies when they decide how to prioritize investor requests for engagement.</w:t>
      </w:r>
      <w:r w:rsidR="00F012EA">
        <w:rPr>
          <w:color w:val="000000" w:themeColor="text1"/>
          <w:sz w:val="24"/>
          <w:szCs w:val="24"/>
        </w:rPr>
        <w:t xml:space="preserve"> </w:t>
      </w:r>
      <w:r w:rsidR="00FF3D98">
        <w:rPr>
          <w:rStyle w:val="FootnoteReference"/>
          <w:color w:val="000000" w:themeColor="text1"/>
          <w:sz w:val="24"/>
          <w:szCs w:val="24"/>
        </w:rPr>
        <w:footnoteReference w:id="3"/>
      </w:r>
    </w:p>
    <w:p w14:paraId="3BA8B31B" w14:textId="3CE96241" w:rsidR="00A048D8" w:rsidRDefault="00F012EA" w:rsidP="00C12ED7">
      <w:pPr>
        <w:rPr>
          <w:color w:val="000000" w:themeColor="text1"/>
          <w:sz w:val="24"/>
          <w:szCs w:val="24"/>
        </w:rPr>
      </w:pPr>
      <w:r>
        <w:rPr>
          <w:color w:val="000000" w:themeColor="text1"/>
          <w:sz w:val="24"/>
          <w:szCs w:val="24"/>
        </w:rPr>
        <w:t xml:space="preserve">                                </w:t>
      </w:r>
      <w:r w:rsidR="00124788" w:rsidRPr="00124788">
        <w:rPr>
          <w:rStyle w:val="FootnoteReference"/>
          <w:color w:val="000000" w:themeColor="text1"/>
          <w:sz w:val="24"/>
          <w:szCs w:val="24"/>
        </w:rPr>
        <w:t xml:space="preserve"> </w:t>
      </w:r>
    </w:p>
    <w:p w14:paraId="192457C8" w14:textId="413BB0D5" w:rsidR="004D05A0" w:rsidRDefault="004D05A0" w:rsidP="00C12ED7">
      <w:pPr>
        <w:rPr>
          <w:color w:val="000000" w:themeColor="text1"/>
          <w:sz w:val="24"/>
          <w:szCs w:val="24"/>
        </w:rPr>
      </w:pPr>
      <w:r>
        <w:rPr>
          <w:color w:val="000000" w:themeColor="text1"/>
          <w:sz w:val="24"/>
          <w:szCs w:val="24"/>
        </w:rPr>
        <w:t xml:space="preserve">  </w:t>
      </w:r>
    </w:p>
    <w:p w14:paraId="6B84F902" w14:textId="3A2A136E" w:rsidR="0032735E" w:rsidRDefault="0032735E" w:rsidP="00C12ED7">
      <w:pPr>
        <w:rPr>
          <w:color w:val="000000" w:themeColor="text1"/>
          <w:sz w:val="24"/>
          <w:szCs w:val="24"/>
        </w:rPr>
      </w:pPr>
      <w:r w:rsidRPr="00F87652">
        <w:rPr>
          <w:color w:val="000000" w:themeColor="text1"/>
          <w:sz w:val="24"/>
          <w:szCs w:val="24"/>
        </w:rPr>
        <w:lastRenderedPageBreak/>
        <w:t>As an example</w:t>
      </w:r>
      <w:r w:rsidR="00D56E8A">
        <w:rPr>
          <w:color w:val="000000" w:themeColor="text1"/>
          <w:sz w:val="24"/>
          <w:szCs w:val="24"/>
        </w:rPr>
        <w:t xml:space="preserve"> of the critical importance of this information</w:t>
      </w:r>
      <w:r w:rsidR="00884062">
        <w:rPr>
          <w:color w:val="000000" w:themeColor="text1"/>
          <w:sz w:val="24"/>
          <w:szCs w:val="24"/>
        </w:rPr>
        <w:t xml:space="preserve"> and the negative consequences of the proposed threshold change</w:t>
      </w:r>
      <w:r w:rsidRPr="00F87652">
        <w:rPr>
          <w:color w:val="000000" w:themeColor="text1"/>
          <w:sz w:val="24"/>
          <w:szCs w:val="24"/>
        </w:rPr>
        <w:t>, one of our chapter members</w:t>
      </w:r>
      <w:r w:rsidR="009373CB" w:rsidRPr="00F87652">
        <w:rPr>
          <w:color w:val="000000" w:themeColor="text1"/>
          <w:sz w:val="24"/>
          <w:szCs w:val="24"/>
        </w:rPr>
        <w:t xml:space="preserve"> </w:t>
      </w:r>
      <w:r w:rsidR="00F87652" w:rsidRPr="00F87652">
        <w:rPr>
          <w:color w:val="000000" w:themeColor="text1"/>
          <w:sz w:val="24"/>
          <w:szCs w:val="24"/>
        </w:rPr>
        <w:t>is an Investor Relations director</w:t>
      </w:r>
      <w:r w:rsidRPr="00F87652">
        <w:rPr>
          <w:color w:val="000000" w:themeColor="text1"/>
          <w:sz w:val="24"/>
          <w:szCs w:val="24"/>
        </w:rPr>
        <w:t xml:space="preserve"> for a publicly traded company in the business services sector with a market capitalization of approximately $1 billion.  Based on the 13F filings from June 30, 2020, </w:t>
      </w:r>
      <w:r w:rsidR="00317265" w:rsidRPr="00F87652">
        <w:rPr>
          <w:color w:val="000000" w:themeColor="text1"/>
          <w:sz w:val="24"/>
          <w:szCs w:val="24"/>
        </w:rPr>
        <w:t xml:space="preserve">this </w:t>
      </w:r>
      <w:r w:rsidR="00F87652" w:rsidRPr="00F87652">
        <w:rPr>
          <w:color w:val="000000" w:themeColor="text1"/>
          <w:sz w:val="24"/>
          <w:szCs w:val="24"/>
        </w:rPr>
        <w:t xml:space="preserve">member’s </w:t>
      </w:r>
      <w:r w:rsidR="00317265" w:rsidRPr="00F87652">
        <w:rPr>
          <w:color w:val="000000" w:themeColor="text1"/>
          <w:sz w:val="24"/>
          <w:szCs w:val="24"/>
        </w:rPr>
        <w:t>firm would see a decrease of 38% in its number of filers.  A</w:t>
      </w:r>
      <w:r w:rsidR="00F87652" w:rsidRPr="00F87652">
        <w:rPr>
          <w:color w:val="000000" w:themeColor="text1"/>
          <w:sz w:val="24"/>
          <w:szCs w:val="24"/>
        </w:rPr>
        <w:t xml:space="preserve">dditionally, there would be </w:t>
      </w:r>
      <w:r w:rsidR="00F87652" w:rsidRPr="008E72B0">
        <w:rPr>
          <w:color w:val="000000" w:themeColor="text1"/>
          <w:sz w:val="24"/>
          <w:szCs w:val="24"/>
        </w:rPr>
        <w:t>a decrease of 40% in active filers, which</w:t>
      </w:r>
      <w:r w:rsidR="009373CB">
        <w:rPr>
          <w:color w:val="000000" w:themeColor="text1"/>
          <w:sz w:val="24"/>
          <w:szCs w:val="24"/>
        </w:rPr>
        <w:t xml:space="preserve"> creates a large barrier between the company’s leadership team and investment community, making it difficult to address key investor concerns and/or maintain communication between both parties.</w:t>
      </w:r>
    </w:p>
    <w:p w14:paraId="54E2DA0D" w14:textId="1DD401C9" w:rsidR="0032735E" w:rsidRDefault="0032735E" w:rsidP="00C12ED7">
      <w:pPr>
        <w:rPr>
          <w:color w:val="000000" w:themeColor="text1"/>
          <w:sz w:val="24"/>
          <w:szCs w:val="24"/>
        </w:rPr>
      </w:pPr>
    </w:p>
    <w:p w14:paraId="018E930E" w14:textId="0C187806" w:rsidR="0038708C" w:rsidRDefault="00BD35A6" w:rsidP="00C12ED7">
      <w:pPr>
        <w:rPr>
          <w:color w:val="000000" w:themeColor="text1"/>
          <w:sz w:val="24"/>
          <w:szCs w:val="24"/>
        </w:rPr>
      </w:pPr>
      <w:r>
        <w:rPr>
          <w:color w:val="000000" w:themeColor="text1"/>
          <w:sz w:val="24"/>
          <w:szCs w:val="24"/>
        </w:rPr>
        <w:t xml:space="preserve">In another example, an Investor Relations consultant in our chapter represents a microcap steel company headquartered in Pennsylvania that would see a 35% decrease in </w:t>
      </w:r>
      <w:r w:rsidR="00F51990">
        <w:rPr>
          <w:color w:val="000000" w:themeColor="text1"/>
          <w:sz w:val="24"/>
          <w:szCs w:val="24"/>
        </w:rPr>
        <w:t xml:space="preserve">the number of </w:t>
      </w:r>
      <w:r>
        <w:rPr>
          <w:color w:val="000000" w:themeColor="text1"/>
          <w:sz w:val="24"/>
          <w:szCs w:val="24"/>
        </w:rPr>
        <w:t>its 13F filers, including a 44% decrease in its top 25 holders that would be required to file</w:t>
      </w:r>
      <w:r w:rsidR="00EF353A">
        <w:rPr>
          <w:color w:val="000000" w:themeColor="text1"/>
          <w:sz w:val="24"/>
          <w:szCs w:val="24"/>
        </w:rPr>
        <w:t>, based on June 30, 2020 13F filings</w:t>
      </w:r>
      <w:r>
        <w:rPr>
          <w:color w:val="000000" w:themeColor="text1"/>
          <w:sz w:val="24"/>
          <w:szCs w:val="24"/>
        </w:rPr>
        <w:t xml:space="preserve">. </w:t>
      </w:r>
    </w:p>
    <w:p w14:paraId="21C12585" w14:textId="77777777" w:rsidR="00FF3D98" w:rsidRDefault="00FF3D98" w:rsidP="00C12ED7">
      <w:pPr>
        <w:rPr>
          <w:color w:val="000000" w:themeColor="text1"/>
          <w:sz w:val="24"/>
          <w:szCs w:val="24"/>
        </w:rPr>
      </w:pPr>
    </w:p>
    <w:p w14:paraId="272A07CC" w14:textId="620D6AF4" w:rsidR="002427CD" w:rsidRPr="001265E0" w:rsidRDefault="00D12369" w:rsidP="00C12ED7">
      <w:pPr>
        <w:rPr>
          <w:color w:val="000000" w:themeColor="text1"/>
          <w:sz w:val="24"/>
          <w:szCs w:val="24"/>
        </w:rPr>
      </w:pPr>
      <w:r>
        <w:rPr>
          <w:color w:val="000000" w:themeColor="text1"/>
          <w:sz w:val="24"/>
          <w:szCs w:val="24"/>
        </w:rPr>
        <w:t>As one might expect, s</w:t>
      </w:r>
      <w:r w:rsidR="006C173C" w:rsidRPr="001265E0">
        <w:rPr>
          <w:color w:val="000000" w:themeColor="text1"/>
          <w:sz w:val="24"/>
          <w:szCs w:val="24"/>
        </w:rPr>
        <w:t>mall and mid-cap</w:t>
      </w:r>
      <w:r w:rsidR="002427CD" w:rsidRPr="001265E0">
        <w:rPr>
          <w:color w:val="000000" w:themeColor="text1"/>
          <w:sz w:val="24"/>
          <w:szCs w:val="24"/>
        </w:rPr>
        <w:t xml:space="preserve"> issuers</w:t>
      </w:r>
      <w:r w:rsidR="00FD2126">
        <w:rPr>
          <w:color w:val="000000" w:themeColor="text1"/>
          <w:sz w:val="24"/>
          <w:szCs w:val="24"/>
        </w:rPr>
        <w:t xml:space="preserve"> </w:t>
      </w:r>
      <w:r w:rsidR="002427CD" w:rsidRPr="001265E0">
        <w:rPr>
          <w:color w:val="000000" w:themeColor="text1"/>
          <w:sz w:val="24"/>
          <w:szCs w:val="24"/>
        </w:rPr>
        <w:t xml:space="preserve">typically have a greater percentage of </w:t>
      </w:r>
      <w:r>
        <w:rPr>
          <w:color w:val="000000" w:themeColor="text1"/>
          <w:sz w:val="24"/>
          <w:szCs w:val="24"/>
        </w:rPr>
        <w:t>mid and small sized institutional investors which would be exempt from reporting under the proposed rule</w:t>
      </w:r>
      <w:r w:rsidR="00FD2126">
        <w:rPr>
          <w:color w:val="000000" w:themeColor="text1"/>
          <w:sz w:val="24"/>
          <w:szCs w:val="24"/>
        </w:rPr>
        <w:t xml:space="preserve">. </w:t>
      </w:r>
      <w:r>
        <w:rPr>
          <w:color w:val="000000" w:themeColor="text1"/>
          <w:sz w:val="24"/>
          <w:szCs w:val="24"/>
        </w:rPr>
        <w:t xml:space="preserve">As a result, small and midcap issuers </w:t>
      </w:r>
      <w:r w:rsidR="002427CD" w:rsidRPr="001265E0">
        <w:rPr>
          <w:color w:val="000000" w:themeColor="text1"/>
          <w:sz w:val="24"/>
          <w:szCs w:val="24"/>
        </w:rPr>
        <w:t>would be especially</w:t>
      </w:r>
      <w:r w:rsidR="00BB5159">
        <w:rPr>
          <w:color w:val="000000" w:themeColor="text1"/>
          <w:sz w:val="24"/>
          <w:szCs w:val="24"/>
        </w:rPr>
        <w:t xml:space="preserve"> </w:t>
      </w:r>
      <w:r w:rsidR="002427CD" w:rsidRPr="001265E0">
        <w:rPr>
          <w:color w:val="000000" w:themeColor="text1"/>
          <w:sz w:val="24"/>
          <w:szCs w:val="24"/>
        </w:rPr>
        <w:t>hard hit by this loss of transparency.</w:t>
      </w:r>
      <w:r w:rsidR="002427CD" w:rsidRPr="001265E0">
        <w:rPr>
          <w:rStyle w:val="FootnoteReference"/>
          <w:color w:val="000000" w:themeColor="text1"/>
          <w:sz w:val="24"/>
          <w:szCs w:val="24"/>
        </w:rPr>
        <w:footnoteReference w:id="4"/>
      </w:r>
      <w:r>
        <w:rPr>
          <w:color w:val="000000" w:themeColor="text1"/>
          <w:sz w:val="24"/>
          <w:szCs w:val="24"/>
        </w:rPr>
        <w:t xml:space="preserve"> </w:t>
      </w:r>
      <w:r w:rsidR="00754098">
        <w:rPr>
          <w:color w:val="000000" w:themeColor="text1"/>
          <w:sz w:val="24"/>
          <w:szCs w:val="24"/>
        </w:rPr>
        <w:t>As Commissioner Allison Herren Lee pointed out in her dissenting statement, m</w:t>
      </w:r>
      <w:r w:rsidR="002427CD" w:rsidRPr="001265E0">
        <w:rPr>
          <w:color w:val="000000" w:themeColor="text1"/>
          <w:sz w:val="24"/>
          <w:szCs w:val="24"/>
        </w:rPr>
        <w:t>any small</w:t>
      </w:r>
      <w:r w:rsidR="00C91CD0">
        <w:rPr>
          <w:color w:val="000000" w:themeColor="text1"/>
          <w:sz w:val="24"/>
          <w:szCs w:val="24"/>
        </w:rPr>
        <w:t>er</w:t>
      </w:r>
      <w:r w:rsidR="00754098">
        <w:rPr>
          <w:color w:val="000000" w:themeColor="text1"/>
          <w:sz w:val="24"/>
          <w:szCs w:val="24"/>
        </w:rPr>
        <w:t xml:space="preserve"> </w:t>
      </w:r>
      <w:r w:rsidR="002427CD" w:rsidRPr="001265E0">
        <w:rPr>
          <w:color w:val="000000" w:themeColor="text1"/>
          <w:sz w:val="24"/>
          <w:szCs w:val="24"/>
        </w:rPr>
        <w:t>companies c</w:t>
      </w:r>
      <w:r w:rsidR="00ED0A29" w:rsidRPr="001265E0">
        <w:rPr>
          <w:color w:val="000000" w:themeColor="text1"/>
          <w:sz w:val="24"/>
          <w:szCs w:val="24"/>
        </w:rPr>
        <w:t>annot</w:t>
      </w:r>
      <w:r w:rsidR="002427CD" w:rsidRPr="001265E0">
        <w:rPr>
          <w:color w:val="000000" w:themeColor="text1"/>
          <w:sz w:val="24"/>
          <w:szCs w:val="24"/>
        </w:rPr>
        <w:t xml:space="preserve"> afford to hire </w:t>
      </w:r>
      <w:r w:rsidR="007E33B6">
        <w:rPr>
          <w:color w:val="000000" w:themeColor="text1"/>
          <w:sz w:val="24"/>
          <w:szCs w:val="24"/>
        </w:rPr>
        <w:t xml:space="preserve">a </w:t>
      </w:r>
      <w:r w:rsidR="002427CD" w:rsidRPr="001265E0">
        <w:rPr>
          <w:color w:val="000000" w:themeColor="text1"/>
          <w:sz w:val="24"/>
          <w:szCs w:val="24"/>
        </w:rPr>
        <w:t xml:space="preserve">stock surveillance </w:t>
      </w:r>
      <w:r w:rsidR="007E33B6">
        <w:rPr>
          <w:color w:val="000000" w:themeColor="text1"/>
          <w:sz w:val="24"/>
          <w:szCs w:val="24"/>
        </w:rPr>
        <w:t xml:space="preserve">firm </w:t>
      </w:r>
      <w:r>
        <w:rPr>
          <w:color w:val="000000" w:themeColor="text1"/>
          <w:sz w:val="24"/>
          <w:szCs w:val="24"/>
        </w:rPr>
        <w:t xml:space="preserve">or take other measures </w:t>
      </w:r>
      <w:r w:rsidR="002427CD" w:rsidRPr="001265E0">
        <w:rPr>
          <w:color w:val="000000" w:themeColor="text1"/>
          <w:sz w:val="24"/>
          <w:szCs w:val="24"/>
        </w:rPr>
        <w:t xml:space="preserve">to </w:t>
      </w:r>
      <w:r w:rsidR="00BB686D">
        <w:rPr>
          <w:color w:val="000000" w:themeColor="text1"/>
          <w:sz w:val="24"/>
          <w:szCs w:val="24"/>
        </w:rPr>
        <w:t xml:space="preserve">attempt to </w:t>
      </w:r>
      <w:r w:rsidR="002427CD" w:rsidRPr="001265E0">
        <w:rPr>
          <w:color w:val="000000" w:themeColor="text1"/>
          <w:sz w:val="24"/>
          <w:szCs w:val="24"/>
        </w:rPr>
        <w:t>offset the</w:t>
      </w:r>
      <w:r w:rsidR="007A58C4" w:rsidRPr="001265E0">
        <w:rPr>
          <w:color w:val="000000" w:themeColor="text1"/>
          <w:sz w:val="24"/>
          <w:szCs w:val="24"/>
        </w:rPr>
        <w:t xml:space="preserve"> </w:t>
      </w:r>
      <w:r w:rsidR="002427CD" w:rsidRPr="001265E0">
        <w:rPr>
          <w:color w:val="000000" w:themeColor="text1"/>
          <w:sz w:val="24"/>
          <w:szCs w:val="24"/>
        </w:rPr>
        <w:t xml:space="preserve">loss of 13F data, and thus would </w:t>
      </w:r>
      <w:r w:rsidR="007A58C4" w:rsidRPr="001265E0">
        <w:rPr>
          <w:color w:val="000000" w:themeColor="text1"/>
          <w:sz w:val="24"/>
          <w:szCs w:val="24"/>
        </w:rPr>
        <w:t>lose visibility in</w:t>
      </w:r>
      <w:r w:rsidR="00BB5159">
        <w:rPr>
          <w:color w:val="000000" w:themeColor="text1"/>
          <w:sz w:val="24"/>
          <w:szCs w:val="24"/>
        </w:rPr>
        <w:t xml:space="preserve">to </w:t>
      </w:r>
      <w:r w:rsidR="007A58C4" w:rsidRPr="001265E0">
        <w:rPr>
          <w:color w:val="000000" w:themeColor="text1"/>
          <w:sz w:val="24"/>
          <w:szCs w:val="24"/>
        </w:rPr>
        <w:t>a significant percentage of their</w:t>
      </w:r>
      <w:r w:rsidR="00BB5159">
        <w:rPr>
          <w:color w:val="000000" w:themeColor="text1"/>
          <w:sz w:val="24"/>
          <w:szCs w:val="24"/>
        </w:rPr>
        <w:t xml:space="preserve"> </w:t>
      </w:r>
      <w:r w:rsidR="007A58C4" w:rsidRPr="001265E0">
        <w:rPr>
          <w:color w:val="000000" w:themeColor="text1"/>
          <w:sz w:val="24"/>
          <w:szCs w:val="24"/>
        </w:rPr>
        <w:t>investors</w:t>
      </w:r>
      <w:r w:rsidR="00225E0F" w:rsidRPr="001265E0">
        <w:rPr>
          <w:color w:val="000000" w:themeColor="text1"/>
          <w:sz w:val="24"/>
          <w:szCs w:val="24"/>
        </w:rPr>
        <w:t>.</w:t>
      </w:r>
      <w:r w:rsidR="00C91CD0">
        <w:rPr>
          <w:rStyle w:val="FootnoteReference"/>
          <w:color w:val="000000" w:themeColor="text1"/>
          <w:sz w:val="24"/>
          <w:szCs w:val="24"/>
        </w:rPr>
        <w:footnoteReference w:id="5"/>
      </w:r>
      <w:r w:rsidR="00225E0F" w:rsidRPr="001265E0">
        <w:rPr>
          <w:color w:val="000000" w:themeColor="text1"/>
          <w:sz w:val="24"/>
          <w:szCs w:val="24"/>
        </w:rPr>
        <w:t xml:space="preserve"> </w:t>
      </w:r>
      <w:r w:rsidR="00066124">
        <w:rPr>
          <w:color w:val="000000" w:themeColor="text1"/>
          <w:sz w:val="24"/>
          <w:szCs w:val="24"/>
        </w:rPr>
        <w:t xml:space="preserve">This may discourage private small and midcap issuers from seeking access to public markets in initial public offerings. </w:t>
      </w:r>
    </w:p>
    <w:p w14:paraId="02797CAC" w14:textId="77777777" w:rsidR="00A81491" w:rsidRPr="001265E0" w:rsidRDefault="00A81491" w:rsidP="00C12ED7">
      <w:pPr>
        <w:rPr>
          <w:color w:val="000000" w:themeColor="text1"/>
          <w:sz w:val="24"/>
          <w:szCs w:val="24"/>
        </w:rPr>
      </w:pPr>
    </w:p>
    <w:p w14:paraId="4325CA38" w14:textId="12FEE7D7" w:rsidR="007A58C4" w:rsidRPr="001265E0" w:rsidRDefault="007A58C4" w:rsidP="00C12ED7">
      <w:pPr>
        <w:rPr>
          <w:sz w:val="24"/>
          <w:szCs w:val="24"/>
        </w:rPr>
      </w:pPr>
      <w:r w:rsidRPr="001265E0">
        <w:rPr>
          <w:sz w:val="24"/>
          <w:szCs w:val="24"/>
        </w:rPr>
        <w:t xml:space="preserve">For the foregoing reasons, we urge the Commission </w:t>
      </w:r>
      <w:r w:rsidR="009038AF">
        <w:rPr>
          <w:sz w:val="24"/>
          <w:szCs w:val="24"/>
        </w:rPr>
        <w:t>not</w:t>
      </w:r>
      <w:r w:rsidRPr="001265E0">
        <w:rPr>
          <w:sz w:val="24"/>
          <w:szCs w:val="24"/>
        </w:rPr>
        <w:t xml:space="preserve"> </w:t>
      </w:r>
      <w:r w:rsidR="001265E0" w:rsidRPr="001265E0">
        <w:rPr>
          <w:sz w:val="24"/>
          <w:szCs w:val="24"/>
        </w:rPr>
        <w:t>to adopt the proposed</w:t>
      </w:r>
      <w:r w:rsidR="00BB5159">
        <w:rPr>
          <w:sz w:val="24"/>
          <w:szCs w:val="24"/>
        </w:rPr>
        <w:t xml:space="preserve"> </w:t>
      </w:r>
      <w:r w:rsidR="007E33B6">
        <w:rPr>
          <w:sz w:val="24"/>
          <w:szCs w:val="24"/>
        </w:rPr>
        <w:t xml:space="preserve">35-times </w:t>
      </w:r>
      <w:r w:rsidR="00BB5159">
        <w:rPr>
          <w:sz w:val="24"/>
          <w:szCs w:val="24"/>
        </w:rPr>
        <w:t>increase in the 13F reporting threshold</w:t>
      </w:r>
      <w:r w:rsidR="008049B0">
        <w:rPr>
          <w:sz w:val="24"/>
          <w:szCs w:val="24"/>
        </w:rPr>
        <w:t xml:space="preserve"> and instead </w:t>
      </w:r>
      <w:r w:rsidR="009038AF">
        <w:rPr>
          <w:sz w:val="24"/>
          <w:szCs w:val="24"/>
        </w:rPr>
        <w:t xml:space="preserve">implement </w:t>
      </w:r>
      <w:r w:rsidR="008049B0">
        <w:rPr>
          <w:sz w:val="24"/>
          <w:szCs w:val="24"/>
        </w:rPr>
        <w:t>the reforms proposed by NIRI and other</w:t>
      </w:r>
      <w:r w:rsidR="00072D17">
        <w:rPr>
          <w:sz w:val="24"/>
          <w:szCs w:val="24"/>
        </w:rPr>
        <w:t xml:space="preserve"> organizations</w:t>
      </w:r>
      <w:r w:rsidR="008049B0">
        <w:rPr>
          <w:sz w:val="24"/>
          <w:szCs w:val="24"/>
        </w:rPr>
        <w:t xml:space="preserve"> to improve </w:t>
      </w:r>
      <w:r w:rsidR="00C91CD0">
        <w:rPr>
          <w:sz w:val="24"/>
          <w:szCs w:val="24"/>
        </w:rPr>
        <w:t xml:space="preserve">market </w:t>
      </w:r>
      <w:r w:rsidR="008049B0">
        <w:rPr>
          <w:sz w:val="24"/>
          <w:szCs w:val="24"/>
        </w:rPr>
        <w:t xml:space="preserve">transparency and </w:t>
      </w:r>
      <w:r w:rsidR="005857FD">
        <w:rPr>
          <w:sz w:val="24"/>
          <w:szCs w:val="24"/>
        </w:rPr>
        <w:t xml:space="preserve">foster more effective </w:t>
      </w:r>
      <w:r w:rsidR="00072D17">
        <w:rPr>
          <w:sz w:val="24"/>
          <w:szCs w:val="24"/>
        </w:rPr>
        <w:t xml:space="preserve">issuer-investor </w:t>
      </w:r>
      <w:r w:rsidR="008049B0">
        <w:rPr>
          <w:sz w:val="24"/>
          <w:szCs w:val="24"/>
        </w:rPr>
        <w:t xml:space="preserve">engagement.  </w:t>
      </w:r>
      <w:r w:rsidRPr="001265E0">
        <w:rPr>
          <w:sz w:val="24"/>
          <w:szCs w:val="24"/>
        </w:rPr>
        <w:t xml:space="preserve"> </w:t>
      </w:r>
    </w:p>
    <w:p w14:paraId="483F04EA" w14:textId="77777777" w:rsidR="00B00543" w:rsidRDefault="00B00543" w:rsidP="00C12ED7">
      <w:pPr>
        <w:rPr>
          <w:color w:val="000000" w:themeColor="text1"/>
          <w:sz w:val="24"/>
          <w:szCs w:val="24"/>
        </w:rPr>
      </w:pPr>
    </w:p>
    <w:p w14:paraId="6EF6A8D2" w14:textId="402A5CDC" w:rsidR="005D26D9" w:rsidRDefault="008E72B0" w:rsidP="00C12ED7">
      <w:pPr>
        <w:rPr>
          <w:sz w:val="24"/>
          <w:szCs w:val="24"/>
        </w:rPr>
      </w:pPr>
      <w:r>
        <w:rPr>
          <w:sz w:val="24"/>
          <w:szCs w:val="24"/>
        </w:rPr>
        <w:t>Signed,</w:t>
      </w:r>
    </w:p>
    <w:p w14:paraId="51846832" w14:textId="2A3E56A8" w:rsidR="001265E0" w:rsidRDefault="001265E0" w:rsidP="00C12ED7">
      <w:pPr>
        <w:rPr>
          <w:sz w:val="24"/>
          <w:szCs w:val="24"/>
        </w:rPr>
      </w:pPr>
      <w:r>
        <w:rPr>
          <w:sz w:val="24"/>
          <w:szCs w:val="24"/>
        </w:rPr>
        <w:t xml:space="preserve"> </w:t>
      </w:r>
    </w:p>
    <w:p w14:paraId="5C9B3C4D" w14:textId="2421C205" w:rsidR="009245FD" w:rsidRDefault="009245FD" w:rsidP="00C12ED7">
      <w:pPr>
        <w:rPr>
          <w:sz w:val="24"/>
          <w:szCs w:val="24"/>
        </w:rPr>
      </w:pPr>
      <w:r>
        <w:rPr>
          <w:sz w:val="24"/>
          <w:szCs w:val="24"/>
        </w:rPr>
        <w:t>NIRI Connecticut/Westchester County Chapter</w:t>
      </w:r>
    </w:p>
    <w:p w14:paraId="3E1D0FAF" w14:textId="7BEF8C8E" w:rsidR="009245FD" w:rsidRDefault="009245FD" w:rsidP="00C12ED7">
      <w:pPr>
        <w:rPr>
          <w:sz w:val="24"/>
          <w:szCs w:val="24"/>
        </w:rPr>
      </w:pPr>
    </w:p>
    <w:p w14:paraId="155358E0" w14:textId="486E72DF" w:rsidR="008E72B0" w:rsidRPr="00C12ED7" w:rsidRDefault="00C12ED7" w:rsidP="00C12ED7">
      <w:pPr>
        <w:rPr>
          <w:rFonts w:ascii="Bradley Hand ITC" w:hAnsi="Bradley Hand ITC"/>
          <w:color w:val="1F497D" w:themeColor="text2"/>
          <w:sz w:val="28"/>
          <w:szCs w:val="28"/>
        </w:rPr>
      </w:pPr>
      <w:r w:rsidRPr="00C12ED7">
        <w:rPr>
          <w:rFonts w:ascii="Bradley Hand ITC" w:hAnsi="Bradley Hand ITC"/>
          <w:color w:val="1F497D" w:themeColor="text2"/>
          <w:sz w:val="28"/>
          <w:szCs w:val="28"/>
        </w:rPr>
        <w:t>June M. Vecellio-</w:t>
      </w:r>
      <w:proofErr w:type="spellStart"/>
      <w:r w:rsidRPr="00C12ED7">
        <w:rPr>
          <w:rFonts w:ascii="Bradley Hand ITC" w:hAnsi="Bradley Hand ITC"/>
          <w:color w:val="1F497D" w:themeColor="text2"/>
          <w:sz w:val="28"/>
          <w:szCs w:val="28"/>
        </w:rPr>
        <w:t>Lazaroff</w:t>
      </w:r>
      <w:proofErr w:type="spellEnd"/>
      <w:r w:rsidR="00377425">
        <w:rPr>
          <w:rFonts w:ascii="Bradley Hand ITC" w:hAnsi="Bradley Hand ITC"/>
          <w:color w:val="1F497D" w:themeColor="text2"/>
          <w:sz w:val="28"/>
          <w:szCs w:val="28"/>
        </w:rPr>
        <w:tab/>
      </w:r>
      <w:r w:rsidR="00377425">
        <w:rPr>
          <w:rFonts w:ascii="Bradley Hand ITC" w:hAnsi="Bradley Hand ITC"/>
          <w:color w:val="1F497D" w:themeColor="text2"/>
          <w:sz w:val="28"/>
          <w:szCs w:val="28"/>
        </w:rPr>
        <w:tab/>
      </w:r>
      <w:r w:rsidR="00377425">
        <w:rPr>
          <w:rFonts w:ascii="Bradley Hand ITC" w:hAnsi="Bradley Hand ITC"/>
          <w:color w:val="1F497D" w:themeColor="text2"/>
          <w:sz w:val="28"/>
          <w:szCs w:val="28"/>
        </w:rPr>
        <w:tab/>
        <w:t>James B. Bragg</w:t>
      </w:r>
    </w:p>
    <w:p w14:paraId="73AB88D6" w14:textId="77777777" w:rsidR="00C12ED7" w:rsidRDefault="00C12ED7" w:rsidP="00C12ED7">
      <w:pPr>
        <w:rPr>
          <w:sz w:val="24"/>
          <w:szCs w:val="24"/>
        </w:rPr>
      </w:pPr>
    </w:p>
    <w:p w14:paraId="2FF01794" w14:textId="3CF01FA4" w:rsidR="009245FD" w:rsidRDefault="009245FD" w:rsidP="00C12ED7">
      <w:pPr>
        <w:rPr>
          <w:sz w:val="24"/>
          <w:szCs w:val="24"/>
        </w:rPr>
      </w:pPr>
      <w:r>
        <w:rPr>
          <w:sz w:val="24"/>
          <w:szCs w:val="24"/>
        </w:rPr>
        <w:t>June Vecellio-Lazaroff</w:t>
      </w:r>
      <w:r w:rsidR="008E72B0">
        <w:rPr>
          <w:sz w:val="24"/>
          <w:szCs w:val="24"/>
        </w:rPr>
        <w:tab/>
      </w:r>
      <w:r w:rsidR="008E72B0">
        <w:rPr>
          <w:sz w:val="24"/>
          <w:szCs w:val="24"/>
        </w:rPr>
        <w:tab/>
      </w:r>
      <w:r w:rsidR="008E72B0">
        <w:rPr>
          <w:sz w:val="24"/>
          <w:szCs w:val="24"/>
        </w:rPr>
        <w:tab/>
      </w:r>
      <w:r w:rsidR="008E72B0">
        <w:rPr>
          <w:sz w:val="24"/>
          <w:szCs w:val="24"/>
        </w:rPr>
        <w:tab/>
        <w:t>James Bragg</w:t>
      </w:r>
    </w:p>
    <w:p w14:paraId="1AAF53F9" w14:textId="62FA985D" w:rsidR="008E72B0" w:rsidRDefault="009245FD" w:rsidP="00C12ED7">
      <w:pPr>
        <w:rPr>
          <w:sz w:val="24"/>
          <w:szCs w:val="24"/>
        </w:rPr>
      </w:pPr>
      <w:r>
        <w:rPr>
          <w:sz w:val="24"/>
          <w:szCs w:val="24"/>
        </w:rPr>
        <w:t>NIRI CT/W Chapter President</w:t>
      </w:r>
      <w:r w:rsidR="008E72B0">
        <w:rPr>
          <w:sz w:val="24"/>
          <w:szCs w:val="24"/>
        </w:rPr>
        <w:tab/>
      </w:r>
      <w:r w:rsidR="008E72B0">
        <w:rPr>
          <w:sz w:val="24"/>
          <w:szCs w:val="24"/>
        </w:rPr>
        <w:tab/>
      </w:r>
      <w:r w:rsidR="008E72B0">
        <w:rPr>
          <w:sz w:val="24"/>
          <w:szCs w:val="24"/>
        </w:rPr>
        <w:tab/>
        <w:t>NIRI CT/W Chapter Advocacy Ambassador</w:t>
      </w:r>
    </w:p>
    <w:p w14:paraId="10062464" w14:textId="53354049" w:rsidR="009245FD" w:rsidRDefault="009245FD" w:rsidP="00C12ED7">
      <w:pPr>
        <w:rPr>
          <w:sz w:val="24"/>
          <w:szCs w:val="24"/>
        </w:rPr>
      </w:pPr>
    </w:p>
    <w:p w14:paraId="73A6D7A8" w14:textId="4527AFFB" w:rsidR="005A43F4" w:rsidRPr="00AF54EF" w:rsidRDefault="005A43F4" w:rsidP="00C12ED7">
      <w:pPr>
        <w:rPr>
          <w:sz w:val="24"/>
          <w:szCs w:val="24"/>
        </w:rPr>
      </w:pPr>
    </w:p>
    <w:sectPr w:rsidR="005A43F4" w:rsidRPr="00AF54EF" w:rsidSect="00066AB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390E6" w14:textId="77777777" w:rsidR="00081013" w:rsidRDefault="00081013" w:rsidP="000C3F6D">
      <w:r>
        <w:separator/>
      </w:r>
    </w:p>
  </w:endnote>
  <w:endnote w:type="continuationSeparator" w:id="0">
    <w:p w14:paraId="5D97CDAB" w14:textId="77777777" w:rsidR="00081013" w:rsidRDefault="00081013" w:rsidP="000C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9732524"/>
      <w:docPartObj>
        <w:docPartGallery w:val="Page Numbers (Bottom of Page)"/>
        <w:docPartUnique/>
      </w:docPartObj>
    </w:sdtPr>
    <w:sdtEndPr>
      <w:rPr>
        <w:noProof/>
      </w:rPr>
    </w:sdtEndPr>
    <w:sdtContent>
      <w:p w14:paraId="2BB68C42" w14:textId="5AEB1E1A" w:rsidR="00C77A18" w:rsidRDefault="00C77A18">
        <w:pPr>
          <w:pStyle w:val="Footer"/>
          <w:jc w:val="center"/>
        </w:pPr>
        <w:r>
          <w:fldChar w:fldCharType="begin"/>
        </w:r>
        <w:r>
          <w:instrText xml:space="preserve"> PAGE   \* MERGEFORMAT </w:instrText>
        </w:r>
        <w:r>
          <w:fldChar w:fldCharType="separate"/>
        </w:r>
        <w:r w:rsidR="00884062">
          <w:rPr>
            <w:noProof/>
          </w:rPr>
          <w:t>3</w:t>
        </w:r>
        <w:r>
          <w:rPr>
            <w:noProof/>
          </w:rPr>
          <w:fldChar w:fldCharType="end"/>
        </w:r>
      </w:p>
    </w:sdtContent>
  </w:sdt>
  <w:p w14:paraId="79178D63" w14:textId="77777777" w:rsidR="0034687F" w:rsidRDefault="00346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CBDE7" w14:textId="77777777" w:rsidR="00081013" w:rsidRDefault="00081013" w:rsidP="000C3F6D">
      <w:r>
        <w:separator/>
      </w:r>
    </w:p>
  </w:footnote>
  <w:footnote w:type="continuationSeparator" w:id="0">
    <w:p w14:paraId="323598E6" w14:textId="77777777" w:rsidR="00081013" w:rsidRDefault="00081013" w:rsidP="000C3F6D">
      <w:r>
        <w:continuationSeparator/>
      </w:r>
    </w:p>
  </w:footnote>
  <w:footnote w:id="1">
    <w:p w14:paraId="14A3990A" w14:textId="53FD3A9E" w:rsidR="00AE3949" w:rsidRDefault="00AE3949">
      <w:pPr>
        <w:pStyle w:val="FootnoteText"/>
      </w:pPr>
      <w:r>
        <w:rPr>
          <w:rStyle w:val="FootnoteReference"/>
        </w:rPr>
        <w:footnoteRef/>
      </w:r>
      <w:r>
        <w:t xml:space="preserve"> See </w:t>
      </w:r>
      <w:r w:rsidR="0012130F">
        <w:t xml:space="preserve">NYSE Group, NIRI, </w:t>
      </w:r>
      <w:r w:rsidR="00ED0A29">
        <w:t xml:space="preserve">and </w:t>
      </w:r>
      <w:r w:rsidR="0012130F">
        <w:t>Society of Corporate Secretaries</w:t>
      </w:r>
      <w:r w:rsidR="00ED0A29">
        <w:t xml:space="preserve"> and Governance Professionals</w:t>
      </w:r>
      <w:r w:rsidR="00043D90">
        <w:t xml:space="preserve"> (now the Society for Corporate Governance)</w:t>
      </w:r>
      <w:r w:rsidR="0012130F">
        <w:t xml:space="preserve">, </w:t>
      </w:r>
      <w:r w:rsidRPr="002C1085">
        <w:t xml:space="preserve">Request for </w:t>
      </w:r>
      <w:r>
        <w:t>R</w:t>
      </w:r>
      <w:r w:rsidRPr="002C1085">
        <w:t xml:space="preserve">ulemaking </w:t>
      </w:r>
      <w:r>
        <w:t>C</w:t>
      </w:r>
      <w:r w:rsidRPr="002C1085">
        <w:t xml:space="preserve">oncerning </w:t>
      </w:r>
      <w:r>
        <w:t>A</w:t>
      </w:r>
      <w:r w:rsidRPr="002C1085">
        <w:t xml:space="preserve">mendment of </w:t>
      </w:r>
      <w:r>
        <w:t>B</w:t>
      </w:r>
      <w:r w:rsidRPr="002C1085">
        <w:t xml:space="preserve">eneficial </w:t>
      </w:r>
      <w:r>
        <w:t>O</w:t>
      </w:r>
      <w:r w:rsidRPr="002C1085">
        <w:t xml:space="preserve">wnership </w:t>
      </w:r>
      <w:r>
        <w:t>R</w:t>
      </w:r>
      <w:r w:rsidRPr="002C1085">
        <w:t xml:space="preserve">eporting </w:t>
      </w:r>
      <w:r>
        <w:t>R</w:t>
      </w:r>
      <w:r w:rsidRPr="002C1085">
        <w:t xml:space="preserve">ules </w:t>
      </w:r>
      <w:r>
        <w:t>U</w:t>
      </w:r>
      <w:r w:rsidRPr="002C1085">
        <w:t xml:space="preserve">nder Section 13(f) of the Securities Exchange Act of 1934 in </w:t>
      </w:r>
      <w:r>
        <w:t>O</w:t>
      </w:r>
      <w:r w:rsidRPr="002C1085">
        <w:t xml:space="preserve">rder to </w:t>
      </w:r>
      <w:r>
        <w:t>S</w:t>
      </w:r>
      <w:r w:rsidRPr="002C1085">
        <w:t xml:space="preserve">horten the </w:t>
      </w:r>
      <w:r>
        <w:t>R</w:t>
      </w:r>
      <w:r w:rsidRPr="002C1085">
        <w:t xml:space="preserve">eporting </w:t>
      </w:r>
      <w:r>
        <w:t>D</w:t>
      </w:r>
      <w:r w:rsidRPr="002C1085">
        <w:t xml:space="preserve">eadline under </w:t>
      </w:r>
      <w:r>
        <w:t>P</w:t>
      </w:r>
      <w:r w:rsidRPr="002C1085">
        <w:t>aragraph (a)(1) of Rule 13f-1</w:t>
      </w:r>
      <w:r>
        <w:t xml:space="preserve">, Petition No. 4-659, February 4, 2013, available at: </w:t>
      </w:r>
      <w:hyperlink r:id="rId1" w:history="1">
        <w:r>
          <w:rPr>
            <w:rStyle w:val="Hyperlink"/>
          </w:rPr>
          <w:t>https://www.sec.gov/rules/petitions/2013/petn4-659.pdf</w:t>
        </w:r>
      </w:hyperlink>
      <w:r>
        <w:t xml:space="preserve">; </w:t>
      </w:r>
      <w:r w:rsidR="00BD4005">
        <w:t xml:space="preserve">NYSE Group and NIRI, Petition for Rulemaking Pursuant to Sections 10 and 13(f) of the Securities Exchange Act of 1934, Petition No. 4-689, October 7, 2015, available at: </w:t>
      </w:r>
      <w:hyperlink r:id="rId2" w:history="1">
        <w:r w:rsidR="00BD4005">
          <w:rPr>
            <w:rStyle w:val="Hyperlink"/>
          </w:rPr>
          <w:t>https://www.sec.gov/rules/petitions/2015/petn4-689.pdf</w:t>
        </w:r>
      </w:hyperlink>
      <w:r w:rsidR="00A048D8">
        <w:t xml:space="preserve">; and Nasdaq, Petition for Rulemaking to Require Disclosure of Short Positions in Parity with Required Disclosure of Long Positions, Petition No. 4-691, December 7, 2015, available at </w:t>
      </w:r>
      <w:hyperlink r:id="rId3" w:history="1">
        <w:r w:rsidR="00A048D8">
          <w:rPr>
            <w:rStyle w:val="Hyperlink"/>
          </w:rPr>
          <w:t>https://www.sec.gov/rules/petitions/2015/petn4-691.pdf</w:t>
        </w:r>
      </w:hyperlink>
      <w:r w:rsidR="00A048D8">
        <w:t>.</w:t>
      </w:r>
      <w:r w:rsidR="00A048D8">
        <w:br/>
      </w:r>
      <w:r w:rsidR="0012130F">
        <w:br/>
      </w:r>
      <w:r>
        <w:t xml:space="preserve">    </w:t>
      </w:r>
    </w:p>
  </w:footnote>
  <w:footnote w:id="2">
    <w:p w14:paraId="286B9C3D" w14:textId="77777777" w:rsidR="00BD068B" w:rsidRDefault="00BD068B" w:rsidP="00BD068B">
      <w:pPr>
        <w:pStyle w:val="FootnoteText"/>
      </w:pPr>
      <w:r>
        <w:rPr>
          <w:rStyle w:val="FootnoteReference"/>
        </w:rPr>
        <w:footnoteRef/>
      </w:r>
      <w:r>
        <w:t xml:space="preserve"> Unfortunately, companies cannot simply accept investors’ ownership representations at face value. In a 2016 survey of NIRI members, 45 percent said they definitely had experiences with investors who misrepresented their positions to obtain meetings with C-suite executives, while another 31 percent said they suspected that had happened. Some buy-side managers receive financial incentives that reflect the number of C-suite meetings they obtain. </w:t>
      </w:r>
    </w:p>
    <w:p w14:paraId="43559578" w14:textId="77777777" w:rsidR="00BD068B" w:rsidRDefault="00BD068B" w:rsidP="00BD068B">
      <w:pPr>
        <w:pStyle w:val="FootnoteText"/>
      </w:pPr>
    </w:p>
  </w:footnote>
  <w:footnote w:id="3">
    <w:p w14:paraId="3F2080D8" w14:textId="77777777" w:rsidR="00FF3D98" w:rsidRDefault="00FF3D98" w:rsidP="00FF3D98">
      <w:pPr>
        <w:pStyle w:val="FootnoteText"/>
        <w:rPr>
          <w:rStyle w:val="Hyperlink"/>
        </w:rPr>
      </w:pPr>
      <w:r>
        <w:rPr>
          <w:rStyle w:val="FootnoteReference"/>
        </w:rPr>
        <w:footnoteRef/>
      </w:r>
      <w:r>
        <w:t xml:space="preserve"> </w:t>
      </w:r>
      <w:r w:rsidRPr="00A81491">
        <w:t>As lawyers from Wachtell</w:t>
      </w:r>
      <w:r>
        <w:t>,</w:t>
      </w:r>
      <w:r w:rsidRPr="00A81491">
        <w:t xml:space="preserve"> Lipton observed,</w:t>
      </w:r>
      <w:r w:rsidRPr="00C77A18">
        <w:t xml:space="preserve"> “</w:t>
      </w:r>
      <w:r w:rsidRPr="00C77A18">
        <w:rPr>
          <w:color w:val="000000"/>
          <w:shd w:val="clear" w:color="auto" w:fill="FFFFFF"/>
        </w:rPr>
        <w:t xml:space="preserve">In proposing the revision, the SEC has suggested that the new threshold will further the primary goals of Form 13F, including gathering data about investment activities of institutional investment managers; facilitating consideration of the impact of these managers on the securities markets; and increasing investor confidence in the integrity of the securities markets. It is difficult to see how eliminating the limited transparency into ownership by activist and other hedge funds, and instead increasing the percentage of 13(f) information provided by </w:t>
      </w:r>
      <w:r>
        <w:rPr>
          <w:color w:val="000000"/>
          <w:shd w:val="clear" w:color="auto" w:fill="FFFFFF"/>
        </w:rPr>
        <w:t>‘</w:t>
      </w:r>
      <w:r w:rsidRPr="00C77A18">
        <w:rPr>
          <w:color w:val="000000"/>
          <w:shd w:val="clear" w:color="auto" w:fill="FFFFFF"/>
        </w:rPr>
        <w:t>price-taking</w:t>
      </w:r>
      <w:r>
        <w:rPr>
          <w:color w:val="000000"/>
          <w:shd w:val="clear" w:color="auto" w:fill="FFFFFF"/>
        </w:rPr>
        <w:t>’</w:t>
      </w:r>
      <w:r w:rsidRPr="00C77A18">
        <w:rPr>
          <w:color w:val="000000"/>
          <w:shd w:val="clear" w:color="auto" w:fill="FFFFFF"/>
        </w:rPr>
        <w:t xml:space="preserve"> index funds rather than smaller active funds that set prices, will further those goals. Contrary to both the original intent of Rule 13(f) and the current market use of 13(f) information, </w:t>
      </w:r>
      <w:r w:rsidRPr="00A81491">
        <w:rPr>
          <w:color w:val="000000"/>
          <w:shd w:val="clear" w:color="auto" w:fill="FFFFFF"/>
        </w:rPr>
        <w:t>adoption of the SEC’s current proposal would impede companies and their shareholders from promptly identifying the company’s institutional investors, hinder shareholder/public company engagement, and increase the potential for market abuse by sophisticated investors who wish to accumulate shares on a stealth basis.”</w:t>
      </w:r>
      <w:r w:rsidRPr="00A81491">
        <w:t xml:space="preserve"> Adam O. Emmerich, David M. Silk, and Sabastian V. Niles, Wachtell, Lipton, Rosen &amp; Katz, "Going Dark: SEC Proposes Amendments to Form 13F," July 19, 2020, available at: </w:t>
      </w:r>
      <w:hyperlink r:id="rId4" w:history="1">
        <w:r w:rsidRPr="00A81491">
          <w:rPr>
            <w:rStyle w:val="Hyperlink"/>
          </w:rPr>
          <w:t>https://corpgov.law.harvard.edu/2020/07/19/going-dark-sec-proposes-amendments-to-form-13f/</w:t>
        </w:r>
      </w:hyperlink>
    </w:p>
    <w:p w14:paraId="5CFBA4AD" w14:textId="77777777" w:rsidR="00FF3D98" w:rsidRPr="00A81491" w:rsidRDefault="00FF3D98" w:rsidP="00FF3D98">
      <w:pPr>
        <w:pStyle w:val="FootnoteText"/>
      </w:pPr>
    </w:p>
  </w:footnote>
  <w:footnote w:id="4">
    <w:p w14:paraId="063DD275" w14:textId="3C5A6AED" w:rsidR="002427CD" w:rsidRDefault="002427CD" w:rsidP="002427CD">
      <w:pPr>
        <w:rPr>
          <w:sz w:val="24"/>
          <w:szCs w:val="24"/>
        </w:rPr>
      </w:pPr>
      <w:r>
        <w:rPr>
          <w:rStyle w:val="FootnoteReference"/>
        </w:rPr>
        <w:footnoteRef/>
      </w:r>
      <w:r>
        <w:t xml:space="preserve"> </w:t>
      </w:r>
      <w:r w:rsidRPr="007A58C4">
        <w:t xml:space="preserve">According to </w:t>
      </w:r>
      <w:r w:rsidR="00225E0F" w:rsidRPr="007A58C4">
        <w:t xml:space="preserve">an </w:t>
      </w:r>
      <w:r w:rsidRPr="007A58C4">
        <w:t>analysis by Alexander Yokum</w:t>
      </w:r>
      <w:r w:rsidR="00225E0F" w:rsidRPr="007A58C4">
        <w:t>, a senior associate</w:t>
      </w:r>
      <w:r w:rsidRPr="007A58C4">
        <w:t xml:space="preserve"> </w:t>
      </w:r>
      <w:r w:rsidR="00225E0F" w:rsidRPr="007A58C4">
        <w:t>at</w:t>
      </w:r>
      <w:r w:rsidRPr="007A58C4">
        <w:t xml:space="preserve"> IHS Markit, companies</w:t>
      </w:r>
      <w:r w:rsidR="00CF1CAB">
        <w:t xml:space="preserve"> </w:t>
      </w:r>
      <w:r w:rsidRPr="007A58C4">
        <w:t>under $2</w:t>
      </w:r>
      <w:r w:rsidR="007E33B6">
        <w:t xml:space="preserve"> billion </w:t>
      </w:r>
      <w:r w:rsidRPr="007A58C4">
        <w:t>in market cap</w:t>
      </w:r>
      <w:r w:rsidR="007E33B6">
        <w:t>italization</w:t>
      </w:r>
      <w:r w:rsidR="00CF1CAB">
        <w:t xml:space="preserve"> </w:t>
      </w:r>
      <w:r w:rsidRPr="007A58C4">
        <w:t>would on average lose visibility into 21-23 percent of the investors in their top 100 list</w:t>
      </w:r>
      <w:r w:rsidR="00C91CD0">
        <w:t>s</w:t>
      </w:r>
      <w:r w:rsidRPr="007A58C4">
        <w:t xml:space="preserve"> of shareholders. See </w:t>
      </w:r>
      <w:r w:rsidR="00225E0F" w:rsidRPr="007A58C4">
        <w:t xml:space="preserve">Alexander Yokum, </w:t>
      </w:r>
      <w:r w:rsidR="00CF1CAB">
        <w:t>“</w:t>
      </w:r>
      <w:r w:rsidR="00225E0F" w:rsidRPr="007A58C4">
        <w:t xml:space="preserve">SEC Proposes Boosting 13F Reporting Threshold,” July 13, 2020, available at: </w:t>
      </w:r>
      <w:hyperlink r:id="rId5" w:history="1">
        <w:r w:rsidR="00225E0F" w:rsidRPr="007A58C4">
          <w:rPr>
            <w:rStyle w:val="Hyperlink"/>
          </w:rPr>
          <w:t>https://www.linkedin.com/pulse/sec-proposes-boosting-13f-reporting-threshold-potential-yokum/</w:t>
        </w:r>
      </w:hyperlink>
      <w:r w:rsidR="007036C6">
        <w:rPr>
          <w:sz w:val="24"/>
          <w:szCs w:val="24"/>
        </w:rPr>
        <w:t>.</w:t>
      </w:r>
      <w:r>
        <w:rPr>
          <w:sz w:val="24"/>
          <w:szCs w:val="24"/>
        </w:rPr>
        <w:t xml:space="preserve"> </w:t>
      </w:r>
    </w:p>
    <w:p w14:paraId="60BE5A0F" w14:textId="27B7BC5A" w:rsidR="002427CD" w:rsidRDefault="002427CD" w:rsidP="002427CD">
      <w:pPr>
        <w:pStyle w:val="FootnoteText"/>
      </w:pPr>
    </w:p>
  </w:footnote>
  <w:footnote w:id="5">
    <w:p w14:paraId="123B64E6" w14:textId="7CD7C4BB" w:rsidR="00C91CD0" w:rsidRDefault="00C91CD0">
      <w:pPr>
        <w:pStyle w:val="FootnoteText"/>
      </w:pPr>
      <w:r>
        <w:rPr>
          <w:rStyle w:val="FootnoteReference"/>
        </w:rPr>
        <w:footnoteRef/>
      </w:r>
      <w:r>
        <w:t xml:space="preserve"> </w:t>
      </w:r>
      <w:r w:rsidRPr="00C91CD0">
        <w:t>Comm</w:t>
      </w:r>
      <w:r>
        <w:t>i</w:t>
      </w:r>
      <w:r w:rsidRPr="00C91CD0">
        <w:t>ssioner Allison Herren Lee, "Statement on the Proposal to Substantially Reduce 13F Reporting,</w:t>
      </w:r>
      <w:r>
        <w:t>”</w:t>
      </w:r>
      <w:r w:rsidRPr="00C91CD0">
        <w:t xml:space="preserve"> July 10, 2020, available at: </w:t>
      </w:r>
      <w:hyperlink r:id="rId6" w:history="1">
        <w:r w:rsidRPr="009D284D">
          <w:rPr>
            <w:rStyle w:val="Hyperlink"/>
          </w:rPr>
          <w:t>https://www.sec.gov/news/public-statement/lee-13f-reporting-2020-07-10</w:t>
        </w:r>
      </w:hyperlink>
      <w:r>
        <w:t>.</w:t>
      </w:r>
    </w:p>
    <w:p w14:paraId="06EB8018" w14:textId="77777777" w:rsidR="00C91CD0" w:rsidRDefault="00C91CD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2BD09" w14:textId="6CAF3A5D" w:rsidR="0034687F" w:rsidRDefault="00346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739D"/>
    <w:multiLevelType w:val="hybridMultilevel"/>
    <w:tmpl w:val="569613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537512"/>
    <w:multiLevelType w:val="hybridMultilevel"/>
    <w:tmpl w:val="2CB201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F837CC"/>
    <w:multiLevelType w:val="hybridMultilevel"/>
    <w:tmpl w:val="580C4AC2"/>
    <w:lvl w:ilvl="0" w:tplc="2980567C">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80C4649"/>
    <w:multiLevelType w:val="hybridMultilevel"/>
    <w:tmpl w:val="23AA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27270"/>
    <w:multiLevelType w:val="hybridMultilevel"/>
    <w:tmpl w:val="1DFA756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381438B"/>
    <w:multiLevelType w:val="hybridMultilevel"/>
    <w:tmpl w:val="2E50FE9E"/>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720"/>
        </w:tabs>
        <w:ind w:left="720" w:hanging="360"/>
      </w:pPr>
      <w:rPr>
        <w:rFonts w:cs="Times New Roman"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7CC6D67"/>
    <w:multiLevelType w:val="hybridMultilevel"/>
    <w:tmpl w:val="BF3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F5027"/>
    <w:multiLevelType w:val="hybridMultilevel"/>
    <w:tmpl w:val="57FA655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BAD2AE7"/>
    <w:multiLevelType w:val="hybridMultilevel"/>
    <w:tmpl w:val="3A40246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3F141B34"/>
    <w:multiLevelType w:val="hybridMultilevel"/>
    <w:tmpl w:val="21562C2C"/>
    <w:lvl w:ilvl="0" w:tplc="8E56132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15:restartNumberingAfterBreak="0">
    <w:nsid w:val="41AF184B"/>
    <w:multiLevelType w:val="hybridMultilevel"/>
    <w:tmpl w:val="3D5435F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43F37E96"/>
    <w:multiLevelType w:val="hybridMultilevel"/>
    <w:tmpl w:val="FB0CA6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2B48F2"/>
    <w:multiLevelType w:val="hybridMultilevel"/>
    <w:tmpl w:val="5B9264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C3A1442"/>
    <w:multiLevelType w:val="hybridMultilevel"/>
    <w:tmpl w:val="D422CF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E279EB"/>
    <w:multiLevelType w:val="hybridMultilevel"/>
    <w:tmpl w:val="1722C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13A68DE"/>
    <w:multiLevelType w:val="hybridMultilevel"/>
    <w:tmpl w:val="BD26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A3665"/>
    <w:multiLevelType w:val="hybridMultilevel"/>
    <w:tmpl w:val="FC8E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E6C8E"/>
    <w:multiLevelType w:val="hybridMultilevel"/>
    <w:tmpl w:val="8544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B5658"/>
    <w:multiLevelType w:val="hybridMultilevel"/>
    <w:tmpl w:val="4CFE336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34630AA"/>
    <w:multiLevelType w:val="hybridMultilevel"/>
    <w:tmpl w:val="5D52AAA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D70D2"/>
    <w:multiLevelType w:val="hybridMultilevel"/>
    <w:tmpl w:val="661E17C8"/>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720"/>
        </w:tabs>
        <w:ind w:left="720" w:hanging="360"/>
      </w:pPr>
      <w:rPr>
        <w:rFonts w:cs="Times New Roman"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9815032"/>
    <w:multiLevelType w:val="hybridMultilevel"/>
    <w:tmpl w:val="9AAEB0E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DAE7C89"/>
    <w:multiLevelType w:val="hybridMultilevel"/>
    <w:tmpl w:val="5CF4623A"/>
    <w:lvl w:ilvl="0" w:tplc="95FC7D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70A06AFE"/>
    <w:multiLevelType w:val="hybridMultilevel"/>
    <w:tmpl w:val="C70818D6"/>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4" w15:restartNumberingAfterBreak="0">
    <w:nsid w:val="7437328F"/>
    <w:multiLevelType w:val="hybridMultilevel"/>
    <w:tmpl w:val="89E8EE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1D04D4"/>
    <w:multiLevelType w:val="hybridMultilevel"/>
    <w:tmpl w:val="60AAF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FB818D9"/>
    <w:multiLevelType w:val="hybridMultilevel"/>
    <w:tmpl w:val="8298A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1"/>
  </w:num>
  <w:num w:numId="4">
    <w:abstractNumId w:val="1"/>
  </w:num>
  <w:num w:numId="5">
    <w:abstractNumId w:val="13"/>
  </w:num>
  <w:num w:numId="6">
    <w:abstractNumId w:val="2"/>
  </w:num>
  <w:num w:numId="7">
    <w:abstractNumId w:val="0"/>
  </w:num>
  <w:num w:numId="8">
    <w:abstractNumId w:val="20"/>
  </w:num>
  <w:num w:numId="9">
    <w:abstractNumId w:val="5"/>
  </w:num>
  <w:num w:numId="10">
    <w:abstractNumId w:val="10"/>
  </w:num>
  <w:num w:numId="11">
    <w:abstractNumId w:val="18"/>
  </w:num>
  <w:num w:numId="12">
    <w:abstractNumId w:val="7"/>
  </w:num>
  <w:num w:numId="13">
    <w:abstractNumId w:val="21"/>
  </w:num>
  <w:num w:numId="14">
    <w:abstractNumId w:val="4"/>
  </w:num>
  <w:num w:numId="15">
    <w:abstractNumId w:val="24"/>
  </w:num>
  <w:num w:numId="16">
    <w:abstractNumId w:val="8"/>
  </w:num>
  <w:num w:numId="17">
    <w:abstractNumId w:val="6"/>
  </w:num>
  <w:num w:numId="18">
    <w:abstractNumId w:val="3"/>
  </w:num>
  <w:num w:numId="19">
    <w:abstractNumId w:val="19"/>
  </w:num>
  <w:num w:numId="20">
    <w:abstractNumId w:val="12"/>
  </w:num>
  <w:num w:numId="21">
    <w:abstractNumId w:val="14"/>
  </w:num>
  <w:num w:numId="22">
    <w:abstractNumId w:val="26"/>
  </w:num>
  <w:num w:numId="23">
    <w:abstractNumId w:val="17"/>
  </w:num>
  <w:num w:numId="24">
    <w:abstractNumId w:val="15"/>
  </w:num>
  <w:num w:numId="25">
    <w:abstractNumId w:val="9"/>
  </w:num>
  <w:num w:numId="26">
    <w:abstractNumId w:val="16"/>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0C7869"/>
    <w:rsid w:val="000079EB"/>
    <w:rsid w:val="00007C0D"/>
    <w:rsid w:val="0001046F"/>
    <w:rsid w:val="00014EBD"/>
    <w:rsid w:val="00017175"/>
    <w:rsid w:val="0002159D"/>
    <w:rsid w:val="00021CD4"/>
    <w:rsid w:val="00022412"/>
    <w:rsid w:val="00022E5A"/>
    <w:rsid w:val="000241E7"/>
    <w:rsid w:val="00024A0A"/>
    <w:rsid w:val="0003227F"/>
    <w:rsid w:val="000329AB"/>
    <w:rsid w:val="000377AB"/>
    <w:rsid w:val="00037C21"/>
    <w:rsid w:val="00040686"/>
    <w:rsid w:val="00040AE7"/>
    <w:rsid w:val="00040CFF"/>
    <w:rsid w:val="00042764"/>
    <w:rsid w:val="000428FD"/>
    <w:rsid w:val="00043D90"/>
    <w:rsid w:val="00047BDA"/>
    <w:rsid w:val="00052135"/>
    <w:rsid w:val="00064322"/>
    <w:rsid w:val="000649CB"/>
    <w:rsid w:val="00065214"/>
    <w:rsid w:val="0006581F"/>
    <w:rsid w:val="00066124"/>
    <w:rsid w:val="00066AB9"/>
    <w:rsid w:val="000676D6"/>
    <w:rsid w:val="00071BEA"/>
    <w:rsid w:val="00072D17"/>
    <w:rsid w:val="00081013"/>
    <w:rsid w:val="000821E8"/>
    <w:rsid w:val="000906B4"/>
    <w:rsid w:val="00091DB5"/>
    <w:rsid w:val="00095CC1"/>
    <w:rsid w:val="0009777F"/>
    <w:rsid w:val="000A47A4"/>
    <w:rsid w:val="000A7625"/>
    <w:rsid w:val="000B1D2D"/>
    <w:rsid w:val="000B1ED4"/>
    <w:rsid w:val="000B27B3"/>
    <w:rsid w:val="000B500D"/>
    <w:rsid w:val="000C0C2E"/>
    <w:rsid w:val="000C3F6D"/>
    <w:rsid w:val="000C5E2D"/>
    <w:rsid w:val="000C6A47"/>
    <w:rsid w:val="000C7869"/>
    <w:rsid w:val="000D18AB"/>
    <w:rsid w:val="000D1D5B"/>
    <w:rsid w:val="000D5874"/>
    <w:rsid w:val="000D7DE8"/>
    <w:rsid w:val="000E0709"/>
    <w:rsid w:val="000E4F90"/>
    <w:rsid w:val="000E6502"/>
    <w:rsid w:val="000F35C5"/>
    <w:rsid w:val="000F5A34"/>
    <w:rsid w:val="000F6750"/>
    <w:rsid w:val="000F7795"/>
    <w:rsid w:val="00103176"/>
    <w:rsid w:val="00104F04"/>
    <w:rsid w:val="00105C41"/>
    <w:rsid w:val="00107760"/>
    <w:rsid w:val="00113CA8"/>
    <w:rsid w:val="00115D13"/>
    <w:rsid w:val="00117527"/>
    <w:rsid w:val="00120A2F"/>
    <w:rsid w:val="00120F64"/>
    <w:rsid w:val="00121212"/>
    <w:rsid w:val="0012130F"/>
    <w:rsid w:val="00124788"/>
    <w:rsid w:val="00125AEB"/>
    <w:rsid w:val="001265E0"/>
    <w:rsid w:val="001317B6"/>
    <w:rsid w:val="0013319B"/>
    <w:rsid w:val="00134FC1"/>
    <w:rsid w:val="0013658C"/>
    <w:rsid w:val="00136E36"/>
    <w:rsid w:val="0014351D"/>
    <w:rsid w:val="00146261"/>
    <w:rsid w:val="001507B3"/>
    <w:rsid w:val="001533E2"/>
    <w:rsid w:val="00154F21"/>
    <w:rsid w:val="001610E0"/>
    <w:rsid w:val="00163EEE"/>
    <w:rsid w:val="00165470"/>
    <w:rsid w:val="0016719C"/>
    <w:rsid w:val="001674A6"/>
    <w:rsid w:val="00167EBE"/>
    <w:rsid w:val="00171374"/>
    <w:rsid w:val="001756CA"/>
    <w:rsid w:val="0018270F"/>
    <w:rsid w:val="0018310D"/>
    <w:rsid w:val="00186688"/>
    <w:rsid w:val="00190F98"/>
    <w:rsid w:val="00191D93"/>
    <w:rsid w:val="00193687"/>
    <w:rsid w:val="0019686E"/>
    <w:rsid w:val="001A0C5C"/>
    <w:rsid w:val="001A0D2B"/>
    <w:rsid w:val="001A219B"/>
    <w:rsid w:val="001A2D11"/>
    <w:rsid w:val="001B3F4B"/>
    <w:rsid w:val="001B4BA8"/>
    <w:rsid w:val="001B4BD5"/>
    <w:rsid w:val="001B4CF3"/>
    <w:rsid w:val="001C1492"/>
    <w:rsid w:val="001D02F6"/>
    <w:rsid w:val="001D03AA"/>
    <w:rsid w:val="001D32BA"/>
    <w:rsid w:val="001D548F"/>
    <w:rsid w:val="001D6FED"/>
    <w:rsid w:val="001D781A"/>
    <w:rsid w:val="001E1800"/>
    <w:rsid w:val="001E2122"/>
    <w:rsid w:val="001F1698"/>
    <w:rsid w:val="001F3B9C"/>
    <w:rsid w:val="00210715"/>
    <w:rsid w:val="0021082A"/>
    <w:rsid w:val="00212A9B"/>
    <w:rsid w:val="0021337F"/>
    <w:rsid w:val="0021733A"/>
    <w:rsid w:val="0022050B"/>
    <w:rsid w:val="00220D76"/>
    <w:rsid w:val="0022116D"/>
    <w:rsid w:val="00225E0F"/>
    <w:rsid w:val="00226097"/>
    <w:rsid w:val="002272E0"/>
    <w:rsid w:val="00233137"/>
    <w:rsid w:val="00236266"/>
    <w:rsid w:val="002415E1"/>
    <w:rsid w:val="002427CD"/>
    <w:rsid w:val="00243FD6"/>
    <w:rsid w:val="00246932"/>
    <w:rsid w:val="00254255"/>
    <w:rsid w:val="00255F51"/>
    <w:rsid w:val="00272292"/>
    <w:rsid w:val="002725A1"/>
    <w:rsid w:val="0027392F"/>
    <w:rsid w:val="00274512"/>
    <w:rsid w:val="00275172"/>
    <w:rsid w:val="00284AEF"/>
    <w:rsid w:val="00291C0A"/>
    <w:rsid w:val="00292BF3"/>
    <w:rsid w:val="002942C6"/>
    <w:rsid w:val="002A0422"/>
    <w:rsid w:val="002A1B24"/>
    <w:rsid w:val="002A2076"/>
    <w:rsid w:val="002A36CE"/>
    <w:rsid w:val="002A3E71"/>
    <w:rsid w:val="002A4289"/>
    <w:rsid w:val="002A6BD8"/>
    <w:rsid w:val="002B1985"/>
    <w:rsid w:val="002B23C5"/>
    <w:rsid w:val="002B6BA2"/>
    <w:rsid w:val="002B7BE9"/>
    <w:rsid w:val="002C0DC2"/>
    <w:rsid w:val="002C1085"/>
    <w:rsid w:val="002C2EA0"/>
    <w:rsid w:val="002C472A"/>
    <w:rsid w:val="002D4BCA"/>
    <w:rsid w:val="002D567C"/>
    <w:rsid w:val="002D6854"/>
    <w:rsid w:val="002D68D5"/>
    <w:rsid w:val="002E4C25"/>
    <w:rsid w:val="00302627"/>
    <w:rsid w:val="00304DBB"/>
    <w:rsid w:val="0030697B"/>
    <w:rsid w:val="003109A4"/>
    <w:rsid w:val="003127B8"/>
    <w:rsid w:val="00317265"/>
    <w:rsid w:val="00322029"/>
    <w:rsid w:val="00324F81"/>
    <w:rsid w:val="00326D4B"/>
    <w:rsid w:val="00326D8B"/>
    <w:rsid w:val="0032735E"/>
    <w:rsid w:val="00332418"/>
    <w:rsid w:val="00332B88"/>
    <w:rsid w:val="00333932"/>
    <w:rsid w:val="00334BAB"/>
    <w:rsid w:val="00343792"/>
    <w:rsid w:val="003444C8"/>
    <w:rsid w:val="00346583"/>
    <w:rsid w:val="0034687F"/>
    <w:rsid w:val="00351F23"/>
    <w:rsid w:val="003531CE"/>
    <w:rsid w:val="003533A0"/>
    <w:rsid w:val="003556AE"/>
    <w:rsid w:val="003569BD"/>
    <w:rsid w:val="00356A31"/>
    <w:rsid w:val="00361682"/>
    <w:rsid w:val="00361D90"/>
    <w:rsid w:val="003627C3"/>
    <w:rsid w:val="00362804"/>
    <w:rsid w:val="00364376"/>
    <w:rsid w:val="003645B8"/>
    <w:rsid w:val="00364703"/>
    <w:rsid w:val="0036740E"/>
    <w:rsid w:val="003677C6"/>
    <w:rsid w:val="003730BC"/>
    <w:rsid w:val="00373DB3"/>
    <w:rsid w:val="00377425"/>
    <w:rsid w:val="0038056F"/>
    <w:rsid w:val="00381114"/>
    <w:rsid w:val="00383830"/>
    <w:rsid w:val="00384F82"/>
    <w:rsid w:val="00385868"/>
    <w:rsid w:val="00385D2A"/>
    <w:rsid w:val="00386337"/>
    <w:rsid w:val="0038708C"/>
    <w:rsid w:val="00387C57"/>
    <w:rsid w:val="0039478A"/>
    <w:rsid w:val="003A0C76"/>
    <w:rsid w:val="003A3788"/>
    <w:rsid w:val="003A6274"/>
    <w:rsid w:val="003A6F24"/>
    <w:rsid w:val="003B3349"/>
    <w:rsid w:val="003B61AE"/>
    <w:rsid w:val="003B70B5"/>
    <w:rsid w:val="003C21CD"/>
    <w:rsid w:val="003C2728"/>
    <w:rsid w:val="003C4EB9"/>
    <w:rsid w:val="003C5BAF"/>
    <w:rsid w:val="003C5E29"/>
    <w:rsid w:val="003D1210"/>
    <w:rsid w:val="003E2E2C"/>
    <w:rsid w:val="003E41C3"/>
    <w:rsid w:val="003F38AD"/>
    <w:rsid w:val="003F7E12"/>
    <w:rsid w:val="00401BB4"/>
    <w:rsid w:val="00403624"/>
    <w:rsid w:val="00404258"/>
    <w:rsid w:val="0040523A"/>
    <w:rsid w:val="00407D5B"/>
    <w:rsid w:val="00411684"/>
    <w:rsid w:val="004122A3"/>
    <w:rsid w:val="0041360D"/>
    <w:rsid w:val="00413747"/>
    <w:rsid w:val="00413DE8"/>
    <w:rsid w:val="0041407F"/>
    <w:rsid w:val="004153B5"/>
    <w:rsid w:val="00421213"/>
    <w:rsid w:val="0042176F"/>
    <w:rsid w:val="00422D0E"/>
    <w:rsid w:val="00423A0F"/>
    <w:rsid w:val="00423C11"/>
    <w:rsid w:val="004259E6"/>
    <w:rsid w:val="0043304A"/>
    <w:rsid w:val="004341D5"/>
    <w:rsid w:val="00435579"/>
    <w:rsid w:val="004356EF"/>
    <w:rsid w:val="00436123"/>
    <w:rsid w:val="00452758"/>
    <w:rsid w:val="00452A80"/>
    <w:rsid w:val="004614AC"/>
    <w:rsid w:val="00462FEC"/>
    <w:rsid w:val="00465397"/>
    <w:rsid w:val="00471405"/>
    <w:rsid w:val="004725D6"/>
    <w:rsid w:val="00474505"/>
    <w:rsid w:val="00474575"/>
    <w:rsid w:val="00476FB6"/>
    <w:rsid w:val="00481379"/>
    <w:rsid w:val="004824C5"/>
    <w:rsid w:val="00482A6C"/>
    <w:rsid w:val="0048620F"/>
    <w:rsid w:val="00491EDB"/>
    <w:rsid w:val="00494A51"/>
    <w:rsid w:val="00495CA4"/>
    <w:rsid w:val="00495E65"/>
    <w:rsid w:val="00497183"/>
    <w:rsid w:val="004A0C61"/>
    <w:rsid w:val="004A225B"/>
    <w:rsid w:val="004A5375"/>
    <w:rsid w:val="004B021C"/>
    <w:rsid w:val="004B372B"/>
    <w:rsid w:val="004B620A"/>
    <w:rsid w:val="004B72CC"/>
    <w:rsid w:val="004C15CF"/>
    <w:rsid w:val="004C182F"/>
    <w:rsid w:val="004C1EF4"/>
    <w:rsid w:val="004C3C98"/>
    <w:rsid w:val="004C6B91"/>
    <w:rsid w:val="004D0316"/>
    <w:rsid w:val="004D05A0"/>
    <w:rsid w:val="004D27F2"/>
    <w:rsid w:val="004D31CD"/>
    <w:rsid w:val="004D7245"/>
    <w:rsid w:val="004E0C49"/>
    <w:rsid w:val="004E1301"/>
    <w:rsid w:val="004E2369"/>
    <w:rsid w:val="004E3051"/>
    <w:rsid w:val="004E5895"/>
    <w:rsid w:val="004F1690"/>
    <w:rsid w:val="004F5D8D"/>
    <w:rsid w:val="004F66F6"/>
    <w:rsid w:val="00500678"/>
    <w:rsid w:val="005036F3"/>
    <w:rsid w:val="00507320"/>
    <w:rsid w:val="00507502"/>
    <w:rsid w:val="00507774"/>
    <w:rsid w:val="005139B4"/>
    <w:rsid w:val="00521771"/>
    <w:rsid w:val="0052447A"/>
    <w:rsid w:val="00524E3B"/>
    <w:rsid w:val="00532B42"/>
    <w:rsid w:val="0053583F"/>
    <w:rsid w:val="0053660D"/>
    <w:rsid w:val="00536BCB"/>
    <w:rsid w:val="00537721"/>
    <w:rsid w:val="00537C43"/>
    <w:rsid w:val="005429EC"/>
    <w:rsid w:val="00547C70"/>
    <w:rsid w:val="00550B31"/>
    <w:rsid w:val="00553AA0"/>
    <w:rsid w:val="00554D7A"/>
    <w:rsid w:val="00556B35"/>
    <w:rsid w:val="00562E56"/>
    <w:rsid w:val="00563F25"/>
    <w:rsid w:val="0056526D"/>
    <w:rsid w:val="00570470"/>
    <w:rsid w:val="0057123D"/>
    <w:rsid w:val="00571F8B"/>
    <w:rsid w:val="005739FA"/>
    <w:rsid w:val="00575B29"/>
    <w:rsid w:val="00576201"/>
    <w:rsid w:val="00582B8A"/>
    <w:rsid w:val="00583313"/>
    <w:rsid w:val="00584AEA"/>
    <w:rsid w:val="005857FD"/>
    <w:rsid w:val="0059287E"/>
    <w:rsid w:val="00594929"/>
    <w:rsid w:val="005A045E"/>
    <w:rsid w:val="005A1D0E"/>
    <w:rsid w:val="005A29F5"/>
    <w:rsid w:val="005A43F4"/>
    <w:rsid w:val="005A4A65"/>
    <w:rsid w:val="005A4E67"/>
    <w:rsid w:val="005B0A2E"/>
    <w:rsid w:val="005B1E86"/>
    <w:rsid w:val="005B3FD9"/>
    <w:rsid w:val="005B6694"/>
    <w:rsid w:val="005B7BCA"/>
    <w:rsid w:val="005C120B"/>
    <w:rsid w:val="005C50CA"/>
    <w:rsid w:val="005C65D8"/>
    <w:rsid w:val="005C6B91"/>
    <w:rsid w:val="005D0A1F"/>
    <w:rsid w:val="005D1001"/>
    <w:rsid w:val="005D26D9"/>
    <w:rsid w:val="005D28D4"/>
    <w:rsid w:val="005D2FB9"/>
    <w:rsid w:val="005D4B59"/>
    <w:rsid w:val="005D5C13"/>
    <w:rsid w:val="005E2797"/>
    <w:rsid w:val="005E365C"/>
    <w:rsid w:val="005F6433"/>
    <w:rsid w:val="00603BB6"/>
    <w:rsid w:val="00605D00"/>
    <w:rsid w:val="006066AD"/>
    <w:rsid w:val="006078DE"/>
    <w:rsid w:val="00607B3E"/>
    <w:rsid w:val="00607E7B"/>
    <w:rsid w:val="006100E7"/>
    <w:rsid w:val="006111A8"/>
    <w:rsid w:val="0061148E"/>
    <w:rsid w:val="00611CB1"/>
    <w:rsid w:val="00616353"/>
    <w:rsid w:val="006171FE"/>
    <w:rsid w:val="006174F5"/>
    <w:rsid w:val="00622799"/>
    <w:rsid w:val="00622911"/>
    <w:rsid w:val="0062331A"/>
    <w:rsid w:val="006235AF"/>
    <w:rsid w:val="006262FA"/>
    <w:rsid w:val="006270A0"/>
    <w:rsid w:val="006301E9"/>
    <w:rsid w:val="00632E2C"/>
    <w:rsid w:val="006369A9"/>
    <w:rsid w:val="006376EA"/>
    <w:rsid w:val="006405A2"/>
    <w:rsid w:val="00643D3B"/>
    <w:rsid w:val="00643F4E"/>
    <w:rsid w:val="00647441"/>
    <w:rsid w:val="00647C75"/>
    <w:rsid w:val="0065007D"/>
    <w:rsid w:val="006509EE"/>
    <w:rsid w:val="00651109"/>
    <w:rsid w:val="0065232E"/>
    <w:rsid w:val="00656C67"/>
    <w:rsid w:val="00656FE4"/>
    <w:rsid w:val="006603B5"/>
    <w:rsid w:val="0066150E"/>
    <w:rsid w:val="00662C01"/>
    <w:rsid w:val="0067514D"/>
    <w:rsid w:val="00675194"/>
    <w:rsid w:val="00675450"/>
    <w:rsid w:val="006759BC"/>
    <w:rsid w:val="00675F41"/>
    <w:rsid w:val="00676279"/>
    <w:rsid w:val="00676B05"/>
    <w:rsid w:val="006917B1"/>
    <w:rsid w:val="00695ED1"/>
    <w:rsid w:val="006A1C8A"/>
    <w:rsid w:val="006A2DB8"/>
    <w:rsid w:val="006A7E5D"/>
    <w:rsid w:val="006B0AA1"/>
    <w:rsid w:val="006B0D22"/>
    <w:rsid w:val="006B7570"/>
    <w:rsid w:val="006C173C"/>
    <w:rsid w:val="006C395F"/>
    <w:rsid w:val="006C4B6A"/>
    <w:rsid w:val="006C4BD6"/>
    <w:rsid w:val="006C4C1F"/>
    <w:rsid w:val="006C507B"/>
    <w:rsid w:val="006C7B66"/>
    <w:rsid w:val="006D0277"/>
    <w:rsid w:val="006D0498"/>
    <w:rsid w:val="006D2B9F"/>
    <w:rsid w:val="006D45D9"/>
    <w:rsid w:val="006D4836"/>
    <w:rsid w:val="006D5C08"/>
    <w:rsid w:val="006E36C0"/>
    <w:rsid w:val="006E4C12"/>
    <w:rsid w:val="006E7BF7"/>
    <w:rsid w:val="006E7E56"/>
    <w:rsid w:val="006F22AF"/>
    <w:rsid w:val="006F623F"/>
    <w:rsid w:val="006F7880"/>
    <w:rsid w:val="00700862"/>
    <w:rsid w:val="007014F4"/>
    <w:rsid w:val="007019D4"/>
    <w:rsid w:val="007036C6"/>
    <w:rsid w:val="00705412"/>
    <w:rsid w:val="00710B02"/>
    <w:rsid w:val="00714365"/>
    <w:rsid w:val="007145A1"/>
    <w:rsid w:val="00716EB3"/>
    <w:rsid w:val="0071764F"/>
    <w:rsid w:val="007179BA"/>
    <w:rsid w:val="00717AC5"/>
    <w:rsid w:val="00720735"/>
    <w:rsid w:val="00720F9F"/>
    <w:rsid w:val="007265E4"/>
    <w:rsid w:val="0072711B"/>
    <w:rsid w:val="00730401"/>
    <w:rsid w:val="007316C1"/>
    <w:rsid w:val="00734033"/>
    <w:rsid w:val="00737960"/>
    <w:rsid w:val="00741988"/>
    <w:rsid w:val="0074200E"/>
    <w:rsid w:val="0074660A"/>
    <w:rsid w:val="00754098"/>
    <w:rsid w:val="007548AB"/>
    <w:rsid w:val="00765E90"/>
    <w:rsid w:val="00767FCB"/>
    <w:rsid w:val="0077022C"/>
    <w:rsid w:val="007708D8"/>
    <w:rsid w:val="0077107D"/>
    <w:rsid w:val="00781B35"/>
    <w:rsid w:val="00784C94"/>
    <w:rsid w:val="00784FCE"/>
    <w:rsid w:val="00785140"/>
    <w:rsid w:val="00785D62"/>
    <w:rsid w:val="00786835"/>
    <w:rsid w:val="00786EBD"/>
    <w:rsid w:val="00790618"/>
    <w:rsid w:val="00790705"/>
    <w:rsid w:val="00790F45"/>
    <w:rsid w:val="00792EAE"/>
    <w:rsid w:val="007934E2"/>
    <w:rsid w:val="007940DE"/>
    <w:rsid w:val="00797A19"/>
    <w:rsid w:val="007A06A4"/>
    <w:rsid w:val="007A1F86"/>
    <w:rsid w:val="007A51FB"/>
    <w:rsid w:val="007A58C4"/>
    <w:rsid w:val="007A72C4"/>
    <w:rsid w:val="007A730C"/>
    <w:rsid w:val="007A7BD6"/>
    <w:rsid w:val="007B0C9E"/>
    <w:rsid w:val="007B1482"/>
    <w:rsid w:val="007B5361"/>
    <w:rsid w:val="007B70F9"/>
    <w:rsid w:val="007C23D8"/>
    <w:rsid w:val="007D52BC"/>
    <w:rsid w:val="007D6468"/>
    <w:rsid w:val="007E0CAB"/>
    <w:rsid w:val="007E1689"/>
    <w:rsid w:val="007E2364"/>
    <w:rsid w:val="007E33B6"/>
    <w:rsid w:val="007E5C9B"/>
    <w:rsid w:val="007F5748"/>
    <w:rsid w:val="007F76BD"/>
    <w:rsid w:val="007F7D0A"/>
    <w:rsid w:val="007F7F0B"/>
    <w:rsid w:val="00801E2F"/>
    <w:rsid w:val="008021BE"/>
    <w:rsid w:val="008049B0"/>
    <w:rsid w:val="00810B1C"/>
    <w:rsid w:val="00811D6B"/>
    <w:rsid w:val="008136BE"/>
    <w:rsid w:val="008138F1"/>
    <w:rsid w:val="00814D3E"/>
    <w:rsid w:val="00814F21"/>
    <w:rsid w:val="008162D5"/>
    <w:rsid w:val="00816F2B"/>
    <w:rsid w:val="00822DEF"/>
    <w:rsid w:val="00823262"/>
    <w:rsid w:val="00823299"/>
    <w:rsid w:val="008303BE"/>
    <w:rsid w:val="00831C8F"/>
    <w:rsid w:val="00832FA9"/>
    <w:rsid w:val="00834F66"/>
    <w:rsid w:val="00840A3A"/>
    <w:rsid w:val="008423AA"/>
    <w:rsid w:val="0084265D"/>
    <w:rsid w:val="00842E35"/>
    <w:rsid w:val="008463D2"/>
    <w:rsid w:val="00850387"/>
    <w:rsid w:val="00850405"/>
    <w:rsid w:val="008533AE"/>
    <w:rsid w:val="00853B37"/>
    <w:rsid w:val="00856AD3"/>
    <w:rsid w:val="00862683"/>
    <w:rsid w:val="00863F12"/>
    <w:rsid w:val="00865C68"/>
    <w:rsid w:val="00871053"/>
    <w:rsid w:val="00871E42"/>
    <w:rsid w:val="00872542"/>
    <w:rsid w:val="00874558"/>
    <w:rsid w:val="0087681E"/>
    <w:rsid w:val="00876988"/>
    <w:rsid w:val="00881602"/>
    <w:rsid w:val="00882C38"/>
    <w:rsid w:val="00884062"/>
    <w:rsid w:val="00885B3E"/>
    <w:rsid w:val="00886101"/>
    <w:rsid w:val="00887A1E"/>
    <w:rsid w:val="00887D22"/>
    <w:rsid w:val="00892CBC"/>
    <w:rsid w:val="00896637"/>
    <w:rsid w:val="008A0A03"/>
    <w:rsid w:val="008A5223"/>
    <w:rsid w:val="008A7D43"/>
    <w:rsid w:val="008B004E"/>
    <w:rsid w:val="008B0059"/>
    <w:rsid w:val="008B4A7F"/>
    <w:rsid w:val="008B62E6"/>
    <w:rsid w:val="008B6EB2"/>
    <w:rsid w:val="008C0387"/>
    <w:rsid w:val="008C1D76"/>
    <w:rsid w:val="008C2AFD"/>
    <w:rsid w:val="008C44F5"/>
    <w:rsid w:val="008D08C3"/>
    <w:rsid w:val="008D1CA7"/>
    <w:rsid w:val="008D283C"/>
    <w:rsid w:val="008D2E07"/>
    <w:rsid w:val="008D495B"/>
    <w:rsid w:val="008D58E1"/>
    <w:rsid w:val="008E1A38"/>
    <w:rsid w:val="008E1ABD"/>
    <w:rsid w:val="008E26C4"/>
    <w:rsid w:val="008E4076"/>
    <w:rsid w:val="008E5C0E"/>
    <w:rsid w:val="008E72B0"/>
    <w:rsid w:val="008F3068"/>
    <w:rsid w:val="008F3113"/>
    <w:rsid w:val="008F7340"/>
    <w:rsid w:val="00900B78"/>
    <w:rsid w:val="00900BAC"/>
    <w:rsid w:val="009038AF"/>
    <w:rsid w:val="00913CB6"/>
    <w:rsid w:val="0091581C"/>
    <w:rsid w:val="00915909"/>
    <w:rsid w:val="009245FD"/>
    <w:rsid w:val="00930106"/>
    <w:rsid w:val="009315B2"/>
    <w:rsid w:val="009318D5"/>
    <w:rsid w:val="00934D9E"/>
    <w:rsid w:val="009373CB"/>
    <w:rsid w:val="00940903"/>
    <w:rsid w:val="00946E96"/>
    <w:rsid w:val="00950C56"/>
    <w:rsid w:val="00952D0A"/>
    <w:rsid w:val="00953121"/>
    <w:rsid w:val="0095736A"/>
    <w:rsid w:val="0096266C"/>
    <w:rsid w:val="009635AD"/>
    <w:rsid w:val="00964F71"/>
    <w:rsid w:val="00971499"/>
    <w:rsid w:val="009749A7"/>
    <w:rsid w:val="00975E30"/>
    <w:rsid w:val="0098475F"/>
    <w:rsid w:val="00986C73"/>
    <w:rsid w:val="0098700D"/>
    <w:rsid w:val="009916F0"/>
    <w:rsid w:val="00991C11"/>
    <w:rsid w:val="00992BF8"/>
    <w:rsid w:val="0099496C"/>
    <w:rsid w:val="00995B1E"/>
    <w:rsid w:val="00996832"/>
    <w:rsid w:val="009971AD"/>
    <w:rsid w:val="00997319"/>
    <w:rsid w:val="009A3B84"/>
    <w:rsid w:val="009A3DA6"/>
    <w:rsid w:val="009A563C"/>
    <w:rsid w:val="009A5B8F"/>
    <w:rsid w:val="009A6B08"/>
    <w:rsid w:val="009A6B8B"/>
    <w:rsid w:val="009B3A0B"/>
    <w:rsid w:val="009B3AB6"/>
    <w:rsid w:val="009B59DD"/>
    <w:rsid w:val="009B5C47"/>
    <w:rsid w:val="009B6CB2"/>
    <w:rsid w:val="009C1C43"/>
    <w:rsid w:val="009C21ED"/>
    <w:rsid w:val="009C59E8"/>
    <w:rsid w:val="009C7ECE"/>
    <w:rsid w:val="009E0165"/>
    <w:rsid w:val="009E2FD0"/>
    <w:rsid w:val="009E51AB"/>
    <w:rsid w:val="009E5F63"/>
    <w:rsid w:val="009F1CC3"/>
    <w:rsid w:val="009F27E2"/>
    <w:rsid w:val="009F54BB"/>
    <w:rsid w:val="009F6A73"/>
    <w:rsid w:val="00A02536"/>
    <w:rsid w:val="00A048D8"/>
    <w:rsid w:val="00A12826"/>
    <w:rsid w:val="00A171BC"/>
    <w:rsid w:val="00A17437"/>
    <w:rsid w:val="00A176C1"/>
    <w:rsid w:val="00A212C9"/>
    <w:rsid w:val="00A21F28"/>
    <w:rsid w:val="00A238F0"/>
    <w:rsid w:val="00A31E95"/>
    <w:rsid w:val="00A407B0"/>
    <w:rsid w:val="00A40802"/>
    <w:rsid w:val="00A419B6"/>
    <w:rsid w:val="00A4484B"/>
    <w:rsid w:val="00A454DF"/>
    <w:rsid w:val="00A45DF2"/>
    <w:rsid w:val="00A46FFC"/>
    <w:rsid w:val="00A502B2"/>
    <w:rsid w:val="00A51B5C"/>
    <w:rsid w:val="00A52581"/>
    <w:rsid w:val="00A5260B"/>
    <w:rsid w:val="00A530E5"/>
    <w:rsid w:val="00A54F12"/>
    <w:rsid w:val="00A55E4C"/>
    <w:rsid w:val="00A601BC"/>
    <w:rsid w:val="00A616AC"/>
    <w:rsid w:val="00A64336"/>
    <w:rsid w:val="00A7111C"/>
    <w:rsid w:val="00A728FE"/>
    <w:rsid w:val="00A75F87"/>
    <w:rsid w:val="00A811D7"/>
    <w:rsid w:val="00A81491"/>
    <w:rsid w:val="00A84586"/>
    <w:rsid w:val="00A86F6E"/>
    <w:rsid w:val="00A93E22"/>
    <w:rsid w:val="00A97F1F"/>
    <w:rsid w:val="00AA49C9"/>
    <w:rsid w:val="00AA5757"/>
    <w:rsid w:val="00AA6623"/>
    <w:rsid w:val="00AA68F5"/>
    <w:rsid w:val="00AA6EA4"/>
    <w:rsid w:val="00AA6F1A"/>
    <w:rsid w:val="00AB4573"/>
    <w:rsid w:val="00AB5AA8"/>
    <w:rsid w:val="00AB644C"/>
    <w:rsid w:val="00AC59E0"/>
    <w:rsid w:val="00AC5B52"/>
    <w:rsid w:val="00AC626C"/>
    <w:rsid w:val="00AD004B"/>
    <w:rsid w:val="00AD130D"/>
    <w:rsid w:val="00AD151B"/>
    <w:rsid w:val="00AD15BB"/>
    <w:rsid w:val="00AD3616"/>
    <w:rsid w:val="00AD5791"/>
    <w:rsid w:val="00AD78CD"/>
    <w:rsid w:val="00AE1571"/>
    <w:rsid w:val="00AE2817"/>
    <w:rsid w:val="00AE3949"/>
    <w:rsid w:val="00AE3D48"/>
    <w:rsid w:val="00AE4712"/>
    <w:rsid w:val="00AE6541"/>
    <w:rsid w:val="00AF54EF"/>
    <w:rsid w:val="00AF7C66"/>
    <w:rsid w:val="00B00543"/>
    <w:rsid w:val="00B01711"/>
    <w:rsid w:val="00B064F0"/>
    <w:rsid w:val="00B07F13"/>
    <w:rsid w:val="00B125D9"/>
    <w:rsid w:val="00B12F08"/>
    <w:rsid w:val="00B151C0"/>
    <w:rsid w:val="00B1712C"/>
    <w:rsid w:val="00B17D4C"/>
    <w:rsid w:val="00B20A44"/>
    <w:rsid w:val="00B21212"/>
    <w:rsid w:val="00B212DF"/>
    <w:rsid w:val="00B22C6D"/>
    <w:rsid w:val="00B22FF1"/>
    <w:rsid w:val="00B23CC6"/>
    <w:rsid w:val="00B27065"/>
    <w:rsid w:val="00B27621"/>
    <w:rsid w:val="00B31182"/>
    <w:rsid w:val="00B34706"/>
    <w:rsid w:val="00B35293"/>
    <w:rsid w:val="00B36E6C"/>
    <w:rsid w:val="00B42FC0"/>
    <w:rsid w:val="00B532D3"/>
    <w:rsid w:val="00B54F72"/>
    <w:rsid w:val="00B57432"/>
    <w:rsid w:val="00B6049F"/>
    <w:rsid w:val="00B637F2"/>
    <w:rsid w:val="00B655B1"/>
    <w:rsid w:val="00B67C39"/>
    <w:rsid w:val="00B7211F"/>
    <w:rsid w:val="00B7281A"/>
    <w:rsid w:val="00B737EA"/>
    <w:rsid w:val="00B746FC"/>
    <w:rsid w:val="00B8026B"/>
    <w:rsid w:val="00B83193"/>
    <w:rsid w:val="00B85218"/>
    <w:rsid w:val="00B8632C"/>
    <w:rsid w:val="00B874C6"/>
    <w:rsid w:val="00B907C4"/>
    <w:rsid w:val="00B97515"/>
    <w:rsid w:val="00B978E9"/>
    <w:rsid w:val="00BA239F"/>
    <w:rsid w:val="00BA2A28"/>
    <w:rsid w:val="00BA30CA"/>
    <w:rsid w:val="00BA4F73"/>
    <w:rsid w:val="00BA617F"/>
    <w:rsid w:val="00BA7BFC"/>
    <w:rsid w:val="00BB11D2"/>
    <w:rsid w:val="00BB27C6"/>
    <w:rsid w:val="00BB5159"/>
    <w:rsid w:val="00BB686D"/>
    <w:rsid w:val="00BC03F4"/>
    <w:rsid w:val="00BC15A2"/>
    <w:rsid w:val="00BC6F53"/>
    <w:rsid w:val="00BD068B"/>
    <w:rsid w:val="00BD2854"/>
    <w:rsid w:val="00BD35A6"/>
    <w:rsid w:val="00BD4005"/>
    <w:rsid w:val="00BE2080"/>
    <w:rsid w:val="00BE4592"/>
    <w:rsid w:val="00BF6014"/>
    <w:rsid w:val="00BF60AF"/>
    <w:rsid w:val="00BF752D"/>
    <w:rsid w:val="00C01704"/>
    <w:rsid w:val="00C040FE"/>
    <w:rsid w:val="00C078A8"/>
    <w:rsid w:val="00C1047F"/>
    <w:rsid w:val="00C12ED7"/>
    <w:rsid w:val="00C13BD1"/>
    <w:rsid w:val="00C1461A"/>
    <w:rsid w:val="00C14D72"/>
    <w:rsid w:val="00C17FCA"/>
    <w:rsid w:val="00C26636"/>
    <w:rsid w:val="00C32B1A"/>
    <w:rsid w:val="00C37C98"/>
    <w:rsid w:val="00C37D95"/>
    <w:rsid w:val="00C40576"/>
    <w:rsid w:val="00C41577"/>
    <w:rsid w:val="00C415A1"/>
    <w:rsid w:val="00C417BC"/>
    <w:rsid w:val="00C43C86"/>
    <w:rsid w:val="00C54D2B"/>
    <w:rsid w:val="00C61017"/>
    <w:rsid w:val="00C624BD"/>
    <w:rsid w:val="00C63FA7"/>
    <w:rsid w:val="00C655CB"/>
    <w:rsid w:val="00C65695"/>
    <w:rsid w:val="00C65A67"/>
    <w:rsid w:val="00C661D8"/>
    <w:rsid w:val="00C721DF"/>
    <w:rsid w:val="00C7485E"/>
    <w:rsid w:val="00C77A18"/>
    <w:rsid w:val="00C86804"/>
    <w:rsid w:val="00C91976"/>
    <w:rsid w:val="00C91CD0"/>
    <w:rsid w:val="00C9350F"/>
    <w:rsid w:val="00C94C0A"/>
    <w:rsid w:val="00C9544B"/>
    <w:rsid w:val="00C9631D"/>
    <w:rsid w:val="00CA05E9"/>
    <w:rsid w:val="00CA74C1"/>
    <w:rsid w:val="00CA756C"/>
    <w:rsid w:val="00CB2DBB"/>
    <w:rsid w:val="00CC00CC"/>
    <w:rsid w:val="00CC0170"/>
    <w:rsid w:val="00CC2FBC"/>
    <w:rsid w:val="00CC3118"/>
    <w:rsid w:val="00CC37D4"/>
    <w:rsid w:val="00CC4EA8"/>
    <w:rsid w:val="00CD20AC"/>
    <w:rsid w:val="00CD25FE"/>
    <w:rsid w:val="00CD3F28"/>
    <w:rsid w:val="00CD602F"/>
    <w:rsid w:val="00CE2837"/>
    <w:rsid w:val="00CE458E"/>
    <w:rsid w:val="00CE695E"/>
    <w:rsid w:val="00CE739F"/>
    <w:rsid w:val="00CF098E"/>
    <w:rsid w:val="00CF1CAB"/>
    <w:rsid w:val="00CF5346"/>
    <w:rsid w:val="00D02D78"/>
    <w:rsid w:val="00D03B40"/>
    <w:rsid w:val="00D03E48"/>
    <w:rsid w:val="00D079F8"/>
    <w:rsid w:val="00D11510"/>
    <w:rsid w:val="00D12369"/>
    <w:rsid w:val="00D1461B"/>
    <w:rsid w:val="00D15A28"/>
    <w:rsid w:val="00D20234"/>
    <w:rsid w:val="00D20A6A"/>
    <w:rsid w:val="00D20E46"/>
    <w:rsid w:val="00D20ED9"/>
    <w:rsid w:val="00D22433"/>
    <w:rsid w:val="00D26DD4"/>
    <w:rsid w:val="00D32DDC"/>
    <w:rsid w:val="00D33B3D"/>
    <w:rsid w:val="00D4049A"/>
    <w:rsid w:val="00D408DD"/>
    <w:rsid w:val="00D43F70"/>
    <w:rsid w:val="00D4594A"/>
    <w:rsid w:val="00D53D47"/>
    <w:rsid w:val="00D54B4B"/>
    <w:rsid w:val="00D56E8A"/>
    <w:rsid w:val="00D61416"/>
    <w:rsid w:val="00D61A3E"/>
    <w:rsid w:val="00D65673"/>
    <w:rsid w:val="00D6660A"/>
    <w:rsid w:val="00D670D8"/>
    <w:rsid w:val="00D677F5"/>
    <w:rsid w:val="00D735C8"/>
    <w:rsid w:val="00D7435E"/>
    <w:rsid w:val="00D77A9A"/>
    <w:rsid w:val="00D8014D"/>
    <w:rsid w:val="00D82A81"/>
    <w:rsid w:val="00D82F6E"/>
    <w:rsid w:val="00D84FC8"/>
    <w:rsid w:val="00D87FDF"/>
    <w:rsid w:val="00D9210D"/>
    <w:rsid w:val="00D94D84"/>
    <w:rsid w:val="00D96027"/>
    <w:rsid w:val="00D97B83"/>
    <w:rsid w:val="00DA023D"/>
    <w:rsid w:val="00DA4929"/>
    <w:rsid w:val="00DA78B2"/>
    <w:rsid w:val="00DB3D04"/>
    <w:rsid w:val="00DB7BA6"/>
    <w:rsid w:val="00DC11F5"/>
    <w:rsid w:val="00DC19FE"/>
    <w:rsid w:val="00DC2CCC"/>
    <w:rsid w:val="00DC411C"/>
    <w:rsid w:val="00DC423C"/>
    <w:rsid w:val="00DC69C2"/>
    <w:rsid w:val="00DC75AB"/>
    <w:rsid w:val="00DD027B"/>
    <w:rsid w:val="00DD0BF9"/>
    <w:rsid w:val="00DD28B3"/>
    <w:rsid w:val="00DD42D0"/>
    <w:rsid w:val="00DD4AC9"/>
    <w:rsid w:val="00DD560D"/>
    <w:rsid w:val="00DE1F9C"/>
    <w:rsid w:val="00DE2AAB"/>
    <w:rsid w:val="00DE2BC3"/>
    <w:rsid w:val="00DE31F3"/>
    <w:rsid w:val="00DE35EF"/>
    <w:rsid w:val="00DE4A81"/>
    <w:rsid w:val="00DE556C"/>
    <w:rsid w:val="00DE6A0D"/>
    <w:rsid w:val="00DE72C7"/>
    <w:rsid w:val="00DF1866"/>
    <w:rsid w:val="00DF1A86"/>
    <w:rsid w:val="00DF3C15"/>
    <w:rsid w:val="00DF5A25"/>
    <w:rsid w:val="00DF718A"/>
    <w:rsid w:val="00E018A2"/>
    <w:rsid w:val="00E02107"/>
    <w:rsid w:val="00E069B3"/>
    <w:rsid w:val="00E10277"/>
    <w:rsid w:val="00E14554"/>
    <w:rsid w:val="00E148F5"/>
    <w:rsid w:val="00E16507"/>
    <w:rsid w:val="00E17EC9"/>
    <w:rsid w:val="00E20E00"/>
    <w:rsid w:val="00E2244A"/>
    <w:rsid w:val="00E246DD"/>
    <w:rsid w:val="00E32A11"/>
    <w:rsid w:val="00E34A71"/>
    <w:rsid w:val="00E400EC"/>
    <w:rsid w:val="00E416AF"/>
    <w:rsid w:val="00E4191B"/>
    <w:rsid w:val="00E43368"/>
    <w:rsid w:val="00E511D7"/>
    <w:rsid w:val="00E55C4D"/>
    <w:rsid w:val="00E57CCA"/>
    <w:rsid w:val="00E65E92"/>
    <w:rsid w:val="00E667CD"/>
    <w:rsid w:val="00E67EFF"/>
    <w:rsid w:val="00E71C27"/>
    <w:rsid w:val="00E73A76"/>
    <w:rsid w:val="00E76C2D"/>
    <w:rsid w:val="00E807EA"/>
    <w:rsid w:val="00E80CEE"/>
    <w:rsid w:val="00E82625"/>
    <w:rsid w:val="00E83E79"/>
    <w:rsid w:val="00E90D07"/>
    <w:rsid w:val="00E9106F"/>
    <w:rsid w:val="00E9272B"/>
    <w:rsid w:val="00E96989"/>
    <w:rsid w:val="00EA0588"/>
    <w:rsid w:val="00EA1EFD"/>
    <w:rsid w:val="00EA3357"/>
    <w:rsid w:val="00EA465F"/>
    <w:rsid w:val="00EA6DEC"/>
    <w:rsid w:val="00EA7606"/>
    <w:rsid w:val="00EB0FEC"/>
    <w:rsid w:val="00EB5437"/>
    <w:rsid w:val="00EC2290"/>
    <w:rsid w:val="00EC3158"/>
    <w:rsid w:val="00EC4744"/>
    <w:rsid w:val="00EC506A"/>
    <w:rsid w:val="00EC5F14"/>
    <w:rsid w:val="00EC6371"/>
    <w:rsid w:val="00EC7FC7"/>
    <w:rsid w:val="00ED0A29"/>
    <w:rsid w:val="00ED2930"/>
    <w:rsid w:val="00ED7D8C"/>
    <w:rsid w:val="00EE1249"/>
    <w:rsid w:val="00EE3DBA"/>
    <w:rsid w:val="00EE6A4C"/>
    <w:rsid w:val="00EF05E7"/>
    <w:rsid w:val="00EF0BF2"/>
    <w:rsid w:val="00EF353A"/>
    <w:rsid w:val="00EF35DE"/>
    <w:rsid w:val="00EF4CCE"/>
    <w:rsid w:val="00EF5B31"/>
    <w:rsid w:val="00EF6A39"/>
    <w:rsid w:val="00F012EA"/>
    <w:rsid w:val="00F01426"/>
    <w:rsid w:val="00F04F49"/>
    <w:rsid w:val="00F065F0"/>
    <w:rsid w:val="00F0673F"/>
    <w:rsid w:val="00F0691A"/>
    <w:rsid w:val="00F11A10"/>
    <w:rsid w:val="00F141E4"/>
    <w:rsid w:val="00F16026"/>
    <w:rsid w:val="00F1689D"/>
    <w:rsid w:val="00F17527"/>
    <w:rsid w:val="00F214FC"/>
    <w:rsid w:val="00F2409E"/>
    <w:rsid w:val="00F27452"/>
    <w:rsid w:val="00F34F66"/>
    <w:rsid w:val="00F402D6"/>
    <w:rsid w:val="00F406B3"/>
    <w:rsid w:val="00F42E1C"/>
    <w:rsid w:val="00F43DA2"/>
    <w:rsid w:val="00F44959"/>
    <w:rsid w:val="00F51990"/>
    <w:rsid w:val="00F52E26"/>
    <w:rsid w:val="00F53CF8"/>
    <w:rsid w:val="00F54326"/>
    <w:rsid w:val="00F54BF9"/>
    <w:rsid w:val="00F551DA"/>
    <w:rsid w:val="00F6191A"/>
    <w:rsid w:val="00F62193"/>
    <w:rsid w:val="00F65312"/>
    <w:rsid w:val="00F653A6"/>
    <w:rsid w:val="00F67115"/>
    <w:rsid w:val="00F67303"/>
    <w:rsid w:val="00F67C21"/>
    <w:rsid w:val="00F70AC7"/>
    <w:rsid w:val="00F71DEF"/>
    <w:rsid w:val="00F73CBB"/>
    <w:rsid w:val="00F756A2"/>
    <w:rsid w:val="00F76826"/>
    <w:rsid w:val="00F77C7E"/>
    <w:rsid w:val="00F77D68"/>
    <w:rsid w:val="00F802E7"/>
    <w:rsid w:val="00F80F08"/>
    <w:rsid w:val="00F82528"/>
    <w:rsid w:val="00F83A35"/>
    <w:rsid w:val="00F87652"/>
    <w:rsid w:val="00F904FB"/>
    <w:rsid w:val="00F91326"/>
    <w:rsid w:val="00F95409"/>
    <w:rsid w:val="00FA07B3"/>
    <w:rsid w:val="00FA1C1D"/>
    <w:rsid w:val="00FA217D"/>
    <w:rsid w:val="00FB4217"/>
    <w:rsid w:val="00FB5C71"/>
    <w:rsid w:val="00FC27EC"/>
    <w:rsid w:val="00FC33C2"/>
    <w:rsid w:val="00FC4DB5"/>
    <w:rsid w:val="00FC6036"/>
    <w:rsid w:val="00FC6891"/>
    <w:rsid w:val="00FD109C"/>
    <w:rsid w:val="00FD1101"/>
    <w:rsid w:val="00FD2126"/>
    <w:rsid w:val="00FD392B"/>
    <w:rsid w:val="00FD41AD"/>
    <w:rsid w:val="00FD5D12"/>
    <w:rsid w:val="00FD69EB"/>
    <w:rsid w:val="00FD7A4F"/>
    <w:rsid w:val="00FE03CD"/>
    <w:rsid w:val="00FE17AB"/>
    <w:rsid w:val="00FE21FF"/>
    <w:rsid w:val="00FE22D7"/>
    <w:rsid w:val="00FE67D6"/>
    <w:rsid w:val="00FE6EE2"/>
    <w:rsid w:val="00FE76C5"/>
    <w:rsid w:val="00FF0563"/>
    <w:rsid w:val="00FF2B7D"/>
    <w:rsid w:val="00FF3616"/>
    <w:rsid w:val="00FF3D98"/>
    <w:rsid w:val="00FF447F"/>
    <w:rsid w:val="00FF5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9F4A21"/>
  <w15:docId w15:val="{3139BA4B-BD02-8141-A796-FF1F06C5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869"/>
    <w:rPr>
      <w:sz w:val="20"/>
      <w:szCs w:val="20"/>
    </w:rPr>
  </w:style>
  <w:style w:type="paragraph" w:styleId="Heading1">
    <w:name w:val="heading 1"/>
    <w:basedOn w:val="Normal"/>
    <w:next w:val="Normal"/>
    <w:link w:val="Heading1Char"/>
    <w:uiPriority w:val="99"/>
    <w:qFormat/>
    <w:rsid w:val="000C7869"/>
    <w:pPr>
      <w:keepNext/>
      <w:spacing w:line="240" w:lineRule="exact"/>
      <w:ind w:left="2160" w:firstLine="720"/>
      <w:outlineLvl w:val="0"/>
    </w:pPr>
    <w:rPr>
      <w:rFonts w:ascii="Arial" w:hAnsi="Arial" w:cs="Arial"/>
      <w:sz w:val="24"/>
    </w:rPr>
  </w:style>
  <w:style w:type="paragraph" w:styleId="Heading2">
    <w:name w:val="heading 2"/>
    <w:basedOn w:val="Normal"/>
    <w:next w:val="Normal"/>
    <w:link w:val="Heading2Char"/>
    <w:uiPriority w:val="99"/>
    <w:qFormat/>
    <w:rsid w:val="000C7869"/>
    <w:pPr>
      <w:keepNext/>
      <w:outlineLvl w:val="1"/>
    </w:pPr>
    <w:rPr>
      <w:rFonts w:ascii="Arial" w:hAnsi="Arial" w:cs="Arial"/>
      <w:sz w:val="24"/>
    </w:rPr>
  </w:style>
  <w:style w:type="paragraph" w:styleId="Heading3">
    <w:name w:val="heading 3"/>
    <w:basedOn w:val="Normal"/>
    <w:next w:val="Normal"/>
    <w:link w:val="Heading3Char"/>
    <w:semiHidden/>
    <w:unhideWhenUsed/>
    <w:qFormat/>
    <w:locked/>
    <w:rsid w:val="00BB11D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7C7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47C75"/>
    <w:rPr>
      <w:rFonts w:ascii="Cambria" w:hAnsi="Cambria" w:cs="Times New Roman"/>
      <w:b/>
      <w:bCs/>
      <w:i/>
      <w:iCs/>
      <w:sz w:val="28"/>
      <w:szCs w:val="28"/>
    </w:rPr>
  </w:style>
  <w:style w:type="character" w:styleId="Hyperlink">
    <w:name w:val="Hyperlink"/>
    <w:basedOn w:val="DefaultParagraphFont"/>
    <w:uiPriority w:val="99"/>
    <w:rsid w:val="000C7869"/>
    <w:rPr>
      <w:rFonts w:cs="Times New Roman"/>
      <w:color w:val="0000FF"/>
      <w:u w:val="single"/>
    </w:rPr>
  </w:style>
  <w:style w:type="paragraph" w:customStyle="1" w:styleId="noindent">
    <w:name w:val="noindent"/>
    <w:basedOn w:val="Normal"/>
    <w:uiPriority w:val="99"/>
    <w:rsid w:val="000C7869"/>
    <w:pPr>
      <w:spacing w:before="100" w:beforeAutospacing="1" w:after="100" w:afterAutospacing="1"/>
    </w:pPr>
    <w:rPr>
      <w:rFonts w:ascii="Verdana" w:hAnsi="Verdana"/>
      <w:color w:val="666666"/>
      <w:sz w:val="17"/>
      <w:szCs w:val="17"/>
    </w:rPr>
  </w:style>
  <w:style w:type="character" w:customStyle="1" w:styleId="message">
    <w:name w:val="message"/>
    <w:basedOn w:val="DefaultParagraphFont"/>
    <w:uiPriority w:val="99"/>
    <w:rsid w:val="003645B8"/>
    <w:rPr>
      <w:rFonts w:cs="Times New Roman"/>
    </w:rPr>
  </w:style>
  <w:style w:type="paragraph" w:styleId="BalloonText">
    <w:name w:val="Balloon Text"/>
    <w:basedOn w:val="Normal"/>
    <w:link w:val="BalloonTextChar"/>
    <w:uiPriority w:val="99"/>
    <w:semiHidden/>
    <w:rsid w:val="00037C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7C75"/>
    <w:rPr>
      <w:rFonts w:cs="Times New Roman"/>
      <w:sz w:val="2"/>
    </w:rPr>
  </w:style>
  <w:style w:type="character" w:styleId="CommentReference">
    <w:name w:val="annotation reference"/>
    <w:basedOn w:val="DefaultParagraphFont"/>
    <w:uiPriority w:val="99"/>
    <w:semiHidden/>
    <w:rsid w:val="00452758"/>
    <w:rPr>
      <w:rFonts w:cs="Times New Roman"/>
      <w:sz w:val="16"/>
      <w:szCs w:val="16"/>
    </w:rPr>
  </w:style>
  <w:style w:type="paragraph" w:styleId="CommentText">
    <w:name w:val="annotation text"/>
    <w:basedOn w:val="Normal"/>
    <w:link w:val="CommentTextChar"/>
    <w:uiPriority w:val="99"/>
    <w:semiHidden/>
    <w:rsid w:val="00452758"/>
  </w:style>
  <w:style w:type="character" w:customStyle="1" w:styleId="CommentTextChar">
    <w:name w:val="Comment Text Char"/>
    <w:basedOn w:val="DefaultParagraphFont"/>
    <w:link w:val="CommentText"/>
    <w:uiPriority w:val="99"/>
    <w:semiHidden/>
    <w:locked/>
    <w:rsid w:val="00647C75"/>
    <w:rPr>
      <w:rFonts w:cs="Times New Roman"/>
      <w:sz w:val="20"/>
      <w:szCs w:val="20"/>
    </w:rPr>
  </w:style>
  <w:style w:type="paragraph" w:styleId="CommentSubject">
    <w:name w:val="annotation subject"/>
    <w:basedOn w:val="CommentText"/>
    <w:next w:val="CommentText"/>
    <w:link w:val="CommentSubjectChar"/>
    <w:uiPriority w:val="99"/>
    <w:semiHidden/>
    <w:rsid w:val="00452758"/>
    <w:rPr>
      <w:b/>
      <w:bCs/>
    </w:rPr>
  </w:style>
  <w:style w:type="character" w:customStyle="1" w:styleId="CommentSubjectChar">
    <w:name w:val="Comment Subject Char"/>
    <w:basedOn w:val="CommentTextChar"/>
    <w:link w:val="CommentSubject"/>
    <w:uiPriority w:val="99"/>
    <w:semiHidden/>
    <w:locked/>
    <w:rsid w:val="00647C75"/>
    <w:rPr>
      <w:rFonts w:cs="Times New Roman"/>
      <w:b/>
      <w:bCs/>
      <w:sz w:val="20"/>
      <w:szCs w:val="20"/>
    </w:rPr>
  </w:style>
  <w:style w:type="paragraph" w:styleId="ListParagraph">
    <w:name w:val="List Paragraph"/>
    <w:basedOn w:val="Normal"/>
    <w:uiPriority w:val="34"/>
    <w:qFormat/>
    <w:rsid w:val="003B3349"/>
    <w:pPr>
      <w:ind w:left="720"/>
      <w:contextualSpacing/>
    </w:pPr>
    <w:rPr>
      <w:sz w:val="24"/>
      <w:szCs w:val="24"/>
    </w:rPr>
  </w:style>
  <w:style w:type="paragraph" w:customStyle="1" w:styleId="Default">
    <w:name w:val="Default"/>
    <w:rsid w:val="00107760"/>
    <w:pPr>
      <w:autoSpaceDE w:val="0"/>
      <w:autoSpaceDN w:val="0"/>
      <w:adjustRightInd w:val="0"/>
    </w:pPr>
    <w:rPr>
      <w:rFonts w:ascii="Century Schoolbook" w:hAnsi="Century Schoolbook" w:cs="Century Schoolbook"/>
      <w:color w:val="000000"/>
      <w:sz w:val="24"/>
      <w:szCs w:val="24"/>
    </w:rPr>
  </w:style>
  <w:style w:type="paragraph" w:styleId="PlainText">
    <w:name w:val="Plain Text"/>
    <w:basedOn w:val="Normal"/>
    <w:link w:val="PlainTextChar"/>
    <w:uiPriority w:val="99"/>
    <w:rsid w:val="007940DE"/>
    <w:rPr>
      <w:rFonts w:ascii="Consolas" w:hAnsi="Consolas"/>
      <w:sz w:val="21"/>
      <w:szCs w:val="21"/>
    </w:rPr>
  </w:style>
  <w:style w:type="character" w:customStyle="1" w:styleId="PlainTextChar">
    <w:name w:val="Plain Text Char"/>
    <w:basedOn w:val="DefaultParagraphFont"/>
    <w:link w:val="PlainText"/>
    <w:uiPriority w:val="99"/>
    <w:locked/>
    <w:rsid w:val="007940DE"/>
    <w:rPr>
      <w:rFonts w:ascii="Consolas" w:hAnsi="Consolas" w:cs="Times New Roman"/>
      <w:sz w:val="21"/>
      <w:szCs w:val="21"/>
    </w:rPr>
  </w:style>
  <w:style w:type="paragraph" w:styleId="Revision">
    <w:name w:val="Revision"/>
    <w:hidden/>
    <w:uiPriority w:val="99"/>
    <w:semiHidden/>
    <w:rsid w:val="006917B1"/>
    <w:rPr>
      <w:sz w:val="20"/>
      <w:szCs w:val="20"/>
    </w:rPr>
  </w:style>
  <w:style w:type="paragraph" w:styleId="Header">
    <w:name w:val="header"/>
    <w:basedOn w:val="Normal"/>
    <w:link w:val="HeaderChar"/>
    <w:uiPriority w:val="99"/>
    <w:rsid w:val="000C3F6D"/>
    <w:pPr>
      <w:tabs>
        <w:tab w:val="center" w:pos="4680"/>
        <w:tab w:val="right" w:pos="9360"/>
      </w:tabs>
    </w:pPr>
  </w:style>
  <w:style w:type="character" w:customStyle="1" w:styleId="HeaderChar">
    <w:name w:val="Header Char"/>
    <w:basedOn w:val="DefaultParagraphFont"/>
    <w:link w:val="Header"/>
    <w:uiPriority w:val="99"/>
    <w:locked/>
    <w:rsid w:val="000C3F6D"/>
    <w:rPr>
      <w:rFonts w:cs="Times New Roman"/>
    </w:rPr>
  </w:style>
  <w:style w:type="paragraph" w:styleId="Footer">
    <w:name w:val="footer"/>
    <w:basedOn w:val="Normal"/>
    <w:link w:val="FooterChar"/>
    <w:uiPriority w:val="99"/>
    <w:rsid w:val="000C3F6D"/>
    <w:pPr>
      <w:tabs>
        <w:tab w:val="center" w:pos="4680"/>
        <w:tab w:val="right" w:pos="9360"/>
      </w:tabs>
    </w:pPr>
  </w:style>
  <w:style w:type="character" w:customStyle="1" w:styleId="FooterChar">
    <w:name w:val="Footer Char"/>
    <w:basedOn w:val="DefaultParagraphFont"/>
    <w:link w:val="Footer"/>
    <w:uiPriority w:val="99"/>
    <w:locked/>
    <w:rsid w:val="000C3F6D"/>
    <w:rPr>
      <w:rFonts w:cs="Times New Roman"/>
    </w:rPr>
  </w:style>
  <w:style w:type="paragraph" w:styleId="EndnoteText">
    <w:name w:val="endnote text"/>
    <w:basedOn w:val="Normal"/>
    <w:link w:val="EndnoteTextChar"/>
    <w:uiPriority w:val="99"/>
    <w:semiHidden/>
    <w:unhideWhenUsed/>
    <w:rsid w:val="00EF5B31"/>
  </w:style>
  <w:style w:type="character" w:customStyle="1" w:styleId="EndnoteTextChar">
    <w:name w:val="Endnote Text Char"/>
    <w:basedOn w:val="DefaultParagraphFont"/>
    <w:link w:val="EndnoteText"/>
    <w:uiPriority w:val="99"/>
    <w:semiHidden/>
    <w:rsid w:val="00EF5B31"/>
    <w:rPr>
      <w:sz w:val="20"/>
      <w:szCs w:val="20"/>
    </w:rPr>
  </w:style>
  <w:style w:type="character" w:styleId="EndnoteReference">
    <w:name w:val="endnote reference"/>
    <w:basedOn w:val="DefaultParagraphFont"/>
    <w:uiPriority w:val="99"/>
    <w:semiHidden/>
    <w:unhideWhenUsed/>
    <w:rsid w:val="00EF5B31"/>
    <w:rPr>
      <w:vertAlign w:val="superscript"/>
    </w:rPr>
  </w:style>
  <w:style w:type="paragraph" w:styleId="FootnoteText">
    <w:name w:val="footnote text"/>
    <w:basedOn w:val="Normal"/>
    <w:link w:val="FootnoteTextChar"/>
    <w:uiPriority w:val="99"/>
    <w:unhideWhenUsed/>
    <w:rsid w:val="00CD25FE"/>
  </w:style>
  <w:style w:type="character" w:customStyle="1" w:styleId="FootnoteTextChar">
    <w:name w:val="Footnote Text Char"/>
    <w:basedOn w:val="DefaultParagraphFont"/>
    <w:link w:val="FootnoteText"/>
    <w:uiPriority w:val="99"/>
    <w:rsid w:val="00CD25FE"/>
    <w:rPr>
      <w:sz w:val="20"/>
      <w:szCs w:val="20"/>
    </w:rPr>
  </w:style>
  <w:style w:type="character" w:styleId="FootnoteReference">
    <w:name w:val="footnote reference"/>
    <w:basedOn w:val="DefaultParagraphFont"/>
    <w:uiPriority w:val="99"/>
    <w:semiHidden/>
    <w:unhideWhenUsed/>
    <w:rsid w:val="00CD25FE"/>
    <w:rPr>
      <w:vertAlign w:val="superscript"/>
    </w:rPr>
  </w:style>
  <w:style w:type="character" w:styleId="FollowedHyperlink">
    <w:name w:val="FollowedHyperlink"/>
    <w:basedOn w:val="DefaultParagraphFont"/>
    <w:uiPriority w:val="99"/>
    <w:semiHidden/>
    <w:unhideWhenUsed/>
    <w:rsid w:val="007145A1"/>
    <w:rPr>
      <w:color w:val="800080" w:themeColor="followedHyperlink"/>
      <w:u w:val="single"/>
    </w:rPr>
  </w:style>
  <w:style w:type="character" w:customStyle="1" w:styleId="apple-converted-space">
    <w:name w:val="apple-converted-space"/>
    <w:basedOn w:val="DefaultParagraphFont"/>
    <w:rsid w:val="004E1301"/>
  </w:style>
  <w:style w:type="paragraph" w:customStyle="1" w:styleId="xmsonormal">
    <w:name w:val="x_msonormal"/>
    <w:basedOn w:val="Normal"/>
    <w:rsid w:val="009F54BB"/>
    <w:rPr>
      <w:rFonts w:ascii="Calibri" w:eastAsiaTheme="minorHAnsi" w:hAnsi="Calibri" w:cs="Calibri"/>
      <w:sz w:val="22"/>
      <w:szCs w:val="22"/>
    </w:rPr>
  </w:style>
  <w:style w:type="paragraph" w:customStyle="1" w:styleId="xmsolistparagraph">
    <w:name w:val="x_msolistparagraph"/>
    <w:basedOn w:val="Normal"/>
    <w:rsid w:val="009F54BB"/>
    <w:pPr>
      <w:spacing w:before="100" w:beforeAutospacing="1" w:after="100" w:afterAutospacing="1"/>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0377AB"/>
    <w:rPr>
      <w:color w:val="605E5C"/>
      <w:shd w:val="clear" w:color="auto" w:fill="E1DFDD"/>
    </w:rPr>
  </w:style>
  <w:style w:type="character" w:customStyle="1" w:styleId="Heading3Char">
    <w:name w:val="Heading 3 Char"/>
    <w:basedOn w:val="DefaultParagraphFont"/>
    <w:link w:val="Heading3"/>
    <w:semiHidden/>
    <w:rsid w:val="00BB11D2"/>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856AD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17488">
      <w:bodyDiv w:val="1"/>
      <w:marLeft w:val="0"/>
      <w:marRight w:val="0"/>
      <w:marTop w:val="0"/>
      <w:marBottom w:val="0"/>
      <w:divBdr>
        <w:top w:val="none" w:sz="0" w:space="0" w:color="auto"/>
        <w:left w:val="none" w:sz="0" w:space="0" w:color="auto"/>
        <w:bottom w:val="none" w:sz="0" w:space="0" w:color="auto"/>
        <w:right w:val="none" w:sz="0" w:space="0" w:color="auto"/>
      </w:divBdr>
    </w:div>
    <w:div w:id="87970925">
      <w:bodyDiv w:val="1"/>
      <w:marLeft w:val="0"/>
      <w:marRight w:val="0"/>
      <w:marTop w:val="0"/>
      <w:marBottom w:val="0"/>
      <w:divBdr>
        <w:top w:val="none" w:sz="0" w:space="0" w:color="auto"/>
        <w:left w:val="none" w:sz="0" w:space="0" w:color="auto"/>
        <w:bottom w:val="none" w:sz="0" w:space="0" w:color="auto"/>
        <w:right w:val="none" w:sz="0" w:space="0" w:color="auto"/>
      </w:divBdr>
    </w:div>
    <w:div w:id="106702750">
      <w:marLeft w:val="0"/>
      <w:marRight w:val="0"/>
      <w:marTop w:val="0"/>
      <w:marBottom w:val="0"/>
      <w:divBdr>
        <w:top w:val="none" w:sz="0" w:space="0" w:color="auto"/>
        <w:left w:val="none" w:sz="0" w:space="0" w:color="auto"/>
        <w:bottom w:val="none" w:sz="0" w:space="0" w:color="auto"/>
        <w:right w:val="none" w:sz="0" w:space="0" w:color="auto"/>
      </w:divBdr>
    </w:div>
    <w:div w:id="106702751">
      <w:marLeft w:val="0"/>
      <w:marRight w:val="0"/>
      <w:marTop w:val="0"/>
      <w:marBottom w:val="0"/>
      <w:divBdr>
        <w:top w:val="none" w:sz="0" w:space="0" w:color="auto"/>
        <w:left w:val="none" w:sz="0" w:space="0" w:color="auto"/>
        <w:bottom w:val="none" w:sz="0" w:space="0" w:color="auto"/>
        <w:right w:val="none" w:sz="0" w:space="0" w:color="auto"/>
      </w:divBdr>
    </w:div>
    <w:div w:id="106702752">
      <w:marLeft w:val="0"/>
      <w:marRight w:val="0"/>
      <w:marTop w:val="0"/>
      <w:marBottom w:val="0"/>
      <w:divBdr>
        <w:top w:val="none" w:sz="0" w:space="0" w:color="auto"/>
        <w:left w:val="none" w:sz="0" w:space="0" w:color="auto"/>
        <w:bottom w:val="none" w:sz="0" w:space="0" w:color="auto"/>
        <w:right w:val="none" w:sz="0" w:space="0" w:color="auto"/>
      </w:divBdr>
    </w:div>
    <w:div w:id="106702753">
      <w:marLeft w:val="0"/>
      <w:marRight w:val="0"/>
      <w:marTop w:val="0"/>
      <w:marBottom w:val="0"/>
      <w:divBdr>
        <w:top w:val="none" w:sz="0" w:space="0" w:color="auto"/>
        <w:left w:val="none" w:sz="0" w:space="0" w:color="auto"/>
        <w:bottom w:val="none" w:sz="0" w:space="0" w:color="auto"/>
        <w:right w:val="none" w:sz="0" w:space="0" w:color="auto"/>
      </w:divBdr>
    </w:div>
    <w:div w:id="106702754">
      <w:marLeft w:val="0"/>
      <w:marRight w:val="0"/>
      <w:marTop w:val="0"/>
      <w:marBottom w:val="0"/>
      <w:divBdr>
        <w:top w:val="none" w:sz="0" w:space="0" w:color="auto"/>
        <w:left w:val="none" w:sz="0" w:space="0" w:color="auto"/>
        <w:bottom w:val="none" w:sz="0" w:space="0" w:color="auto"/>
        <w:right w:val="none" w:sz="0" w:space="0" w:color="auto"/>
      </w:divBdr>
    </w:div>
    <w:div w:id="106702755">
      <w:marLeft w:val="0"/>
      <w:marRight w:val="0"/>
      <w:marTop w:val="0"/>
      <w:marBottom w:val="0"/>
      <w:divBdr>
        <w:top w:val="none" w:sz="0" w:space="0" w:color="auto"/>
        <w:left w:val="none" w:sz="0" w:space="0" w:color="auto"/>
        <w:bottom w:val="none" w:sz="0" w:space="0" w:color="auto"/>
        <w:right w:val="none" w:sz="0" w:space="0" w:color="auto"/>
      </w:divBdr>
    </w:div>
    <w:div w:id="643853169">
      <w:bodyDiv w:val="1"/>
      <w:marLeft w:val="0"/>
      <w:marRight w:val="0"/>
      <w:marTop w:val="0"/>
      <w:marBottom w:val="0"/>
      <w:divBdr>
        <w:top w:val="none" w:sz="0" w:space="0" w:color="auto"/>
        <w:left w:val="none" w:sz="0" w:space="0" w:color="auto"/>
        <w:bottom w:val="none" w:sz="0" w:space="0" w:color="auto"/>
        <w:right w:val="none" w:sz="0" w:space="0" w:color="auto"/>
      </w:divBdr>
    </w:div>
    <w:div w:id="1446382806">
      <w:bodyDiv w:val="1"/>
      <w:marLeft w:val="0"/>
      <w:marRight w:val="0"/>
      <w:marTop w:val="0"/>
      <w:marBottom w:val="0"/>
      <w:divBdr>
        <w:top w:val="none" w:sz="0" w:space="0" w:color="auto"/>
        <w:left w:val="none" w:sz="0" w:space="0" w:color="auto"/>
        <w:bottom w:val="none" w:sz="0" w:space="0" w:color="auto"/>
        <w:right w:val="none" w:sz="0" w:space="0" w:color="auto"/>
      </w:divBdr>
    </w:div>
    <w:div w:id="1732734520">
      <w:bodyDiv w:val="1"/>
      <w:marLeft w:val="0"/>
      <w:marRight w:val="0"/>
      <w:marTop w:val="0"/>
      <w:marBottom w:val="0"/>
      <w:divBdr>
        <w:top w:val="none" w:sz="0" w:space="0" w:color="auto"/>
        <w:left w:val="none" w:sz="0" w:space="0" w:color="auto"/>
        <w:bottom w:val="none" w:sz="0" w:space="0" w:color="auto"/>
        <w:right w:val="none" w:sz="0" w:space="0" w:color="auto"/>
      </w:divBdr>
    </w:div>
    <w:div w:id="20028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ec.gov/rules/petitions/2015/petn4-691.pdf" TargetMode="External"/><Relationship Id="rId2" Type="http://schemas.openxmlformats.org/officeDocument/2006/relationships/hyperlink" Target="https://www.sec.gov/rules/petitions/2015/petn4-689.pdf" TargetMode="External"/><Relationship Id="rId1" Type="http://schemas.openxmlformats.org/officeDocument/2006/relationships/hyperlink" Target="https://www.sec.gov/rules/petitions/2013/petn4-659.pdf" TargetMode="External"/><Relationship Id="rId6" Type="http://schemas.openxmlformats.org/officeDocument/2006/relationships/hyperlink" Target="https://www.sec.gov/news/public-statement/lee-13f-reporting-2020-07-10" TargetMode="External"/><Relationship Id="rId5" Type="http://schemas.openxmlformats.org/officeDocument/2006/relationships/hyperlink" Target="https://www.linkedin.com/pulse/sec-proposes-boosting-13f-reporting-threshold-potential-yokum/" TargetMode="External"/><Relationship Id="rId4" Type="http://schemas.openxmlformats.org/officeDocument/2006/relationships/hyperlink" Target="https://corpgov.law.harvard.edu/2020/07/19/going-dark-sec-proposes-amendments-to-form-1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7D037-5464-48A0-B33F-BEAF1FCA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Novatel Wirelss, Inc.</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Allen</dc:creator>
  <cp:lastModifiedBy>Ted Allen</cp:lastModifiedBy>
  <cp:revision>2</cp:revision>
  <cp:lastPrinted>2020-08-20T01:45:00Z</cp:lastPrinted>
  <dcterms:created xsi:type="dcterms:W3CDTF">2020-09-16T19:47:00Z</dcterms:created>
  <dcterms:modified xsi:type="dcterms:W3CDTF">2020-09-16T19:47:00Z</dcterms:modified>
</cp:coreProperties>
</file>