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C996" w14:textId="77777777" w:rsidR="00781B35" w:rsidRPr="00FD7A4F" w:rsidRDefault="00FC6036" w:rsidP="000C7869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FE3F1" wp14:editId="75786CB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8986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96B2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National Investor Relations Institute</w:t>
                            </w:r>
                          </w:p>
                          <w:p w14:paraId="65E51403" w14:textId="313F3FD9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03D9FC4" w14:textId="77777777" w:rsidR="0034687F" w:rsidRPr="00C078A8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C078A8">
                              <w:rPr>
                                <w:rFonts w:ascii="Arial" w:hAnsi="Arial"/>
                                <w:color w:val="000000"/>
                                <w:sz w:val="16"/>
                                <w:lang w:val="fr-FR"/>
                              </w:rPr>
                              <w:t>225 Reinekers Lane, Suite 560</w:t>
                            </w:r>
                            <w:r w:rsidRPr="00C078A8"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, Alexandria, VA  22314</w:t>
                            </w:r>
                          </w:p>
                          <w:p w14:paraId="7726F286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(703) 562-7700  FAX (703) 562-7701</w:t>
                            </w:r>
                          </w:p>
                          <w:p w14:paraId="2C32F418" w14:textId="77777777" w:rsidR="0034687F" w:rsidRDefault="0034687F" w:rsidP="000C7869">
                            <w:pPr>
                              <w:pBdr>
                                <w:top w:val="single" w:sz="2" w:space="1" w:color="FFFFFF"/>
                                <w:left w:val="single" w:sz="2" w:space="4" w:color="FFFFFF"/>
                                <w:bottom w:val="single" w:sz="2" w:space="1" w:color="FFFFFF"/>
                                <w:right w:val="single" w:sz="2" w:space="4" w:color="FFFFFF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Website: www.niri.org</w:t>
                            </w:r>
                          </w:p>
                          <w:p w14:paraId="39CB0879" w14:textId="77777777" w:rsidR="0034687F" w:rsidRDefault="0034687F" w:rsidP="000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E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0;width:211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" stroked="f">
                <v:textbox inset="0,0,0,0">
                  <w:txbxContent>
                    <w:p w14:paraId="5B1F96B2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National Investor Relations Institute</w:t>
                      </w:r>
                    </w:p>
                    <w:p w14:paraId="65E51403" w14:textId="313F3FD9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</w:p>
                    <w:p w14:paraId="203D9FC4" w14:textId="77777777" w:rsidR="0034687F" w:rsidRPr="00C078A8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C078A8">
                        <w:rPr>
                          <w:rFonts w:ascii="Arial" w:hAnsi="Arial"/>
                          <w:color w:val="000000"/>
                          <w:sz w:val="16"/>
                          <w:lang w:val="fr-FR"/>
                        </w:rPr>
                        <w:t>225 Reinekers Lane, Suite 560</w:t>
                      </w:r>
                      <w:r w:rsidRPr="00C078A8">
                        <w:rPr>
                          <w:rFonts w:ascii="Arial" w:hAnsi="Arial"/>
                          <w:sz w:val="16"/>
                          <w:lang w:val="fr-FR"/>
                        </w:rPr>
                        <w:t>, Alexandria, VA  22314</w:t>
                      </w:r>
                    </w:p>
                    <w:p w14:paraId="7726F286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(703) 562-7700  FAX (703) 562-7701</w:t>
                      </w:r>
                    </w:p>
                    <w:p w14:paraId="2C32F418" w14:textId="77777777" w:rsidR="0034687F" w:rsidRDefault="0034687F" w:rsidP="000C7869">
                      <w:pPr>
                        <w:pBdr>
                          <w:top w:val="single" w:sz="2" w:space="1" w:color="FFFFFF"/>
                          <w:left w:val="single" w:sz="2" w:space="4" w:color="FFFFFF"/>
                          <w:bottom w:val="single" w:sz="2" w:space="1" w:color="FFFFFF"/>
                          <w:right w:val="single" w:sz="2" w:space="4" w:color="FFFFFF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Website: www.niri.org</w:t>
                      </w:r>
                    </w:p>
                    <w:p w14:paraId="39CB0879" w14:textId="77777777" w:rsidR="0034687F" w:rsidRDefault="0034687F" w:rsidP="000C7869"/>
                  </w:txbxContent>
                </v:textbox>
              </v:shape>
            </w:pict>
          </mc:Fallback>
        </mc:AlternateContent>
      </w:r>
      <w:r w:rsidR="00781B35" w:rsidRPr="00FD7A4F">
        <w:rPr>
          <w:sz w:val="24"/>
          <w:szCs w:val="24"/>
        </w:rPr>
        <w:object w:dxaOrig="10579" w:dyaOrig="10300" w14:anchorId="32E8E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8" o:title=""/>
          </v:shape>
          <o:OLEObject Type="Embed" ProgID="CorelPhotoPaint.Image.8" ShapeID="_x0000_i1025" DrawAspect="Content" ObjectID="_1658649584" r:id="rId9"/>
        </w:object>
      </w:r>
    </w:p>
    <w:p w14:paraId="54C558B3" w14:textId="4095D1D6" w:rsidR="003D1210" w:rsidRDefault="003D1210" w:rsidP="000C7869">
      <w:pPr>
        <w:rPr>
          <w:b/>
          <w:sz w:val="24"/>
          <w:szCs w:val="24"/>
        </w:rPr>
      </w:pPr>
    </w:p>
    <w:p w14:paraId="4E9FCC98" w14:textId="5B1CB609" w:rsidR="00F54CEF" w:rsidRDefault="00F54CEF" w:rsidP="000C7869">
      <w:pPr>
        <w:rPr>
          <w:b/>
          <w:sz w:val="24"/>
          <w:szCs w:val="24"/>
        </w:rPr>
      </w:pPr>
      <w:r w:rsidRPr="00F54CEF">
        <w:rPr>
          <w:b/>
          <w:sz w:val="24"/>
          <w:szCs w:val="24"/>
          <w:highlight w:val="yellow"/>
        </w:rPr>
        <w:t xml:space="preserve">[Please email Ted Allen </w:t>
      </w:r>
      <w:r>
        <w:rPr>
          <w:b/>
          <w:sz w:val="24"/>
          <w:szCs w:val="24"/>
          <w:highlight w:val="yellow"/>
        </w:rPr>
        <w:t>(</w:t>
      </w:r>
      <w:hyperlink r:id="rId10" w:history="1">
        <w:r w:rsidRPr="00DF11AE">
          <w:rPr>
            <w:rStyle w:val="Hyperlink"/>
            <w:b/>
            <w:sz w:val="24"/>
            <w:szCs w:val="24"/>
            <w:highlight w:val="yellow"/>
          </w:rPr>
          <w:t>tallen@niri.org</w:t>
        </w:r>
      </w:hyperlink>
      <w:r>
        <w:rPr>
          <w:b/>
          <w:sz w:val="24"/>
          <w:szCs w:val="24"/>
          <w:highlight w:val="yellow"/>
        </w:rPr>
        <w:t xml:space="preserve">) </w:t>
      </w:r>
      <w:r w:rsidRPr="00F54CEF">
        <w:rPr>
          <w:b/>
          <w:sz w:val="24"/>
          <w:szCs w:val="24"/>
          <w:highlight w:val="yellow"/>
        </w:rPr>
        <w:t>by August 19 if your company or counseling firm wishes to</w:t>
      </w:r>
      <w:r>
        <w:rPr>
          <w:b/>
          <w:sz w:val="24"/>
          <w:szCs w:val="24"/>
          <w:highlight w:val="yellow"/>
        </w:rPr>
        <w:t xml:space="preserve"> </w:t>
      </w:r>
      <w:r w:rsidRPr="00F54CEF">
        <w:rPr>
          <w:b/>
          <w:sz w:val="24"/>
          <w:szCs w:val="24"/>
          <w:highlight w:val="yellow"/>
        </w:rPr>
        <w:t>join this letter</w:t>
      </w:r>
      <w:r>
        <w:rPr>
          <w:b/>
          <w:sz w:val="24"/>
          <w:szCs w:val="24"/>
          <w:highlight w:val="yellow"/>
        </w:rPr>
        <w:t>.</w:t>
      </w:r>
      <w:r w:rsidRPr="00F54CEF">
        <w:rPr>
          <w:b/>
          <w:sz w:val="24"/>
          <w:szCs w:val="24"/>
          <w:highlight w:val="yellow"/>
        </w:rPr>
        <w:t>]</w:t>
      </w:r>
      <w:r>
        <w:rPr>
          <w:b/>
          <w:sz w:val="24"/>
          <w:szCs w:val="24"/>
        </w:rPr>
        <w:t xml:space="preserve"> </w:t>
      </w:r>
    </w:p>
    <w:p w14:paraId="1A553343" w14:textId="77777777" w:rsidR="00F54CEF" w:rsidRDefault="00AF54EF" w:rsidP="00AF54EF">
      <w:r>
        <w:tab/>
      </w:r>
      <w:r>
        <w:tab/>
      </w:r>
    </w:p>
    <w:p w14:paraId="5AEC901E" w14:textId="756E0F7D" w:rsidR="00AF54EF" w:rsidRPr="00AF54EF" w:rsidRDefault="00AF54EF" w:rsidP="00AF54E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F76826">
        <w:rPr>
          <w:sz w:val="24"/>
          <w:szCs w:val="24"/>
        </w:rPr>
        <w:t xml:space="preserve">August </w:t>
      </w:r>
      <w:r w:rsidR="00CF1CAB">
        <w:rPr>
          <w:sz w:val="24"/>
          <w:szCs w:val="24"/>
        </w:rPr>
        <w:t>__</w:t>
      </w:r>
      <w:r w:rsidRPr="00AF54EF">
        <w:rPr>
          <w:sz w:val="24"/>
          <w:szCs w:val="24"/>
        </w:rPr>
        <w:t>, 20</w:t>
      </w:r>
      <w:r w:rsidR="009F54BB">
        <w:rPr>
          <w:sz w:val="24"/>
          <w:szCs w:val="24"/>
        </w:rPr>
        <w:t>20</w:t>
      </w:r>
    </w:p>
    <w:p w14:paraId="3413593C" w14:textId="77777777" w:rsidR="00754098" w:rsidRDefault="00754098" w:rsidP="00F6191A">
      <w:pPr>
        <w:spacing w:line="276" w:lineRule="auto"/>
        <w:rPr>
          <w:sz w:val="24"/>
          <w:szCs w:val="24"/>
        </w:rPr>
      </w:pPr>
    </w:p>
    <w:p w14:paraId="5DA9AE3D" w14:textId="77777777" w:rsidR="00493A6F" w:rsidRDefault="00493A6F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14:paraId="7AB39925" w14:textId="6B52AC52" w:rsidR="00856AD3" w:rsidRPr="00AB4060" w:rsidRDefault="00856AD3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>Ms. Vanessa Countryman</w:t>
      </w:r>
      <w:r w:rsidRPr="00AB4060">
        <w:rPr>
          <w:color w:val="000000" w:themeColor="text1"/>
          <w:sz w:val="24"/>
          <w:szCs w:val="24"/>
        </w:rPr>
        <w:br/>
        <w:t>Secretary</w:t>
      </w:r>
      <w:r w:rsidRPr="00AB4060">
        <w:rPr>
          <w:color w:val="000000" w:themeColor="text1"/>
          <w:sz w:val="24"/>
          <w:szCs w:val="24"/>
        </w:rPr>
        <w:br/>
        <w:t xml:space="preserve">U.S. Securities and Exchange Commission </w:t>
      </w:r>
    </w:p>
    <w:p w14:paraId="57071D0C" w14:textId="77777777" w:rsidR="00856AD3" w:rsidRPr="00AB4060" w:rsidRDefault="00856AD3" w:rsidP="00856AD3">
      <w:pPr>
        <w:pStyle w:val="Normal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>100 F Street, NE</w:t>
      </w:r>
      <w:r w:rsidRPr="00AB4060">
        <w:rPr>
          <w:color w:val="000000" w:themeColor="text1"/>
          <w:sz w:val="24"/>
          <w:szCs w:val="24"/>
        </w:rPr>
        <w:br/>
        <w:t xml:space="preserve">Washington, DC 20549 </w:t>
      </w:r>
    </w:p>
    <w:p w14:paraId="46F231E5" w14:textId="77777777" w:rsidR="00856AD3" w:rsidRPr="00AB4060" w:rsidRDefault="00856AD3" w:rsidP="00856AD3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4"/>
          <w:szCs w:val="24"/>
        </w:rPr>
      </w:pPr>
    </w:p>
    <w:p w14:paraId="0EC826FC" w14:textId="18E884FA" w:rsidR="00856AD3" w:rsidRPr="005D26D9" w:rsidRDefault="00856AD3" w:rsidP="00BD2854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4"/>
          <w:szCs w:val="24"/>
        </w:rPr>
      </w:pPr>
      <w:r w:rsidRPr="005D26D9">
        <w:rPr>
          <w:b/>
          <w:bCs/>
          <w:color w:val="000000" w:themeColor="text1"/>
          <w:sz w:val="24"/>
          <w:szCs w:val="24"/>
        </w:rPr>
        <w:t>Re:</w:t>
      </w:r>
      <w:r w:rsidR="00F76826" w:rsidRPr="00F76826">
        <w:t xml:space="preserve"> </w:t>
      </w:r>
      <w:r w:rsidR="00F76826" w:rsidRPr="00F76826">
        <w:rPr>
          <w:b/>
          <w:bCs/>
          <w:color w:val="000000" w:themeColor="text1"/>
          <w:sz w:val="24"/>
          <w:szCs w:val="24"/>
        </w:rPr>
        <w:t>Reporting Threshold for Institutional Investment Managers, Release No. 34-89290; File No. S7-08-20</w:t>
      </w:r>
    </w:p>
    <w:p w14:paraId="2F8C46E6" w14:textId="77777777" w:rsidR="00856AD3" w:rsidRPr="00AB4060" w:rsidRDefault="00856AD3" w:rsidP="00C17FCA">
      <w:pPr>
        <w:pStyle w:val="NormalWeb"/>
        <w:spacing w:line="276" w:lineRule="auto"/>
        <w:rPr>
          <w:color w:val="000000" w:themeColor="text1"/>
          <w:sz w:val="24"/>
          <w:szCs w:val="24"/>
        </w:rPr>
      </w:pPr>
      <w:r w:rsidRPr="00AB4060">
        <w:rPr>
          <w:color w:val="000000" w:themeColor="text1"/>
          <w:sz w:val="24"/>
          <w:szCs w:val="24"/>
        </w:rPr>
        <w:t xml:space="preserve">Dear Ms. Countryman: </w:t>
      </w:r>
    </w:p>
    <w:p w14:paraId="0BD0DAFD" w14:textId="1AF6E2A0" w:rsidR="00BD2854" w:rsidRDefault="00F76826" w:rsidP="00C77A18">
      <w:pPr>
        <w:pStyle w:val="NormalWeb"/>
        <w:spacing w:before="0" w:beforeAutospacing="0" w:after="0" w:afterAutospacing="0" w:line="276" w:lineRule="auto"/>
        <w:rPr>
          <w:sz w:val="24"/>
          <w:szCs w:val="24"/>
        </w:rPr>
      </w:pPr>
      <w:r w:rsidRPr="00F76826">
        <w:rPr>
          <w:color w:val="000000" w:themeColor="text1"/>
          <w:sz w:val="24"/>
          <w:szCs w:val="24"/>
        </w:rPr>
        <w:t>We, the undersigned publicly traded companies</w:t>
      </w:r>
      <w:r w:rsidR="004057B6">
        <w:rPr>
          <w:color w:val="000000" w:themeColor="text1"/>
          <w:sz w:val="24"/>
          <w:szCs w:val="24"/>
        </w:rPr>
        <w:t xml:space="preserve"> and investor relations counselors</w:t>
      </w:r>
      <w:r w:rsidRPr="00F76826">
        <w:rPr>
          <w:color w:val="000000" w:themeColor="text1"/>
          <w:sz w:val="24"/>
          <w:szCs w:val="24"/>
        </w:rPr>
        <w:t>, join with</w:t>
      </w:r>
      <w:r>
        <w:rPr>
          <w:color w:val="000000" w:themeColor="text1"/>
          <w:sz w:val="24"/>
          <w:szCs w:val="24"/>
        </w:rPr>
        <w:t xml:space="preserve"> t</w:t>
      </w:r>
      <w:r w:rsidR="00856AD3" w:rsidRPr="00BD2854">
        <w:rPr>
          <w:color w:val="000000" w:themeColor="text1"/>
          <w:sz w:val="24"/>
          <w:szCs w:val="24"/>
        </w:rPr>
        <w:t>he National Investor Relations Institute</w:t>
      </w:r>
      <w:r w:rsidR="00790F45" w:rsidRPr="00BD2854">
        <w:rPr>
          <w:color w:val="000000" w:themeColor="text1"/>
          <w:sz w:val="24"/>
          <w:szCs w:val="24"/>
        </w:rPr>
        <w:t xml:space="preserve"> (NIRI) </w:t>
      </w:r>
      <w:r>
        <w:rPr>
          <w:color w:val="000000" w:themeColor="text1"/>
          <w:sz w:val="24"/>
          <w:szCs w:val="24"/>
        </w:rPr>
        <w:t xml:space="preserve">in opposing the Commission’s proposed amendments to the Form 13F reporting rules for institutional investment managers. </w:t>
      </w:r>
    </w:p>
    <w:p w14:paraId="76DE6BE7" w14:textId="3959D028" w:rsidR="00F54BF9" w:rsidRDefault="00F54BF9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4503D6F2" w14:textId="77C525C0" w:rsidR="00BD4005" w:rsidRDefault="00F76826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While we welcome the Commission’s interest in modernizing</w:t>
      </w:r>
      <w:r w:rsidR="001265E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13F </w:t>
      </w:r>
      <w:r w:rsidR="001265E0">
        <w:rPr>
          <w:color w:val="000000" w:themeColor="text1"/>
          <w:sz w:val="24"/>
          <w:szCs w:val="24"/>
        </w:rPr>
        <w:t>reporting</w:t>
      </w:r>
      <w:r>
        <w:rPr>
          <w:color w:val="000000" w:themeColor="text1"/>
          <w:sz w:val="24"/>
          <w:szCs w:val="24"/>
        </w:rPr>
        <w:t xml:space="preserve">, we believe that the proposed amendments would </w:t>
      </w:r>
      <w:r w:rsidR="00DF5A25">
        <w:rPr>
          <w:color w:val="000000" w:themeColor="text1"/>
          <w:sz w:val="24"/>
          <w:szCs w:val="24"/>
        </w:rPr>
        <w:t xml:space="preserve">reduce transparency around hedge fund activism, </w:t>
      </w:r>
      <w:r>
        <w:rPr>
          <w:color w:val="000000" w:themeColor="text1"/>
          <w:sz w:val="24"/>
          <w:szCs w:val="24"/>
        </w:rPr>
        <w:t>significantly undermine issuer-investor engagement</w:t>
      </w:r>
      <w:r w:rsidR="00DF5A25">
        <w:rPr>
          <w:color w:val="000000" w:themeColor="text1"/>
          <w:sz w:val="24"/>
          <w:szCs w:val="24"/>
        </w:rPr>
        <w:t>,</w:t>
      </w:r>
      <w:r w:rsidR="00765E90">
        <w:rPr>
          <w:color w:val="000000" w:themeColor="text1"/>
          <w:sz w:val="24"/>
          <w:szCs w:val="24"/>
        </w:rPr>
        <w:t xml:space="preserve"> </w:t>
      </w:r>
      <w:r w:rsidR="00765E90" w:rsidRPr="00DF5A25">
        <w:rPr>
          <w:color w:val="000000" w:themeColor="text1"/>
          <w:sz w:val="24"/>
          <w:szCs w:val="24"/>
        </w:rPr>
        <w:t>and deprive retail investors of information they use to make investment decisions.</w:t>
      </w:r>
      <w:r w:rsidR="00765E90">
        <w:rPr>
          <w:color w:val="000000" w:themeColor="text1"/>
          <w:sz w:val="24"/>
          <w:szCs w:val="24"/>
        </w:rPr>
        <w:t xml:space="preserve"> </w:t>
      </w:r>
      <w:r w:rsidR="00DA4929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e urge the Commission to withdraw this proposal and instead consider the common-sens</w:t>
      </w:r>
      <w:r w:rsidR="0012130F">
        <w:rPr>
          <w:color w:val="000000" w:themeColor="text1"/>
          <w:sz w:val="24"/>
          <w:szCs w:val="24"/>
        </w:rPr>
        <w:t xml:space="preserve">e reforms </w:t>
      </w:r>
      <w:r>
        <w:rPr>
          <w:color w:val="000000" w:themeColor="text1"/>
          <w:sz w:val="24"/>
          <w:szCs w:val="24"/>
        </w:rPr>
        <w:t xml:space="preserve">that </w:t>
      </w:r>
      <w:r w:rsidR="0012130F">
        <w:rPr>
          <w:color w:val="000000" w:themeColor="text1"/>
          <w:sz w:val="24"/>
          <w:szCs w:val="24"/>
        </w:rPr>
        <w:t>were detailed in</w:t>
      </w:r>
      <w:r w:rsidR="00BD4005">
        <w:rPr>
          <w:color w:val="000000" w:themeColor="text1"/>
          <w:sz w:val="24"/>
          <w:szCs w:val="24"/>
        </w:rPr>
        <w:t xml:space="preserve"> rulemaking petitions </w:t>
      </w:r>
      <w:r w:rsidR="00043D90">
        <w:rPr>
          <w:color w:val="000000" w:themeColor="text1"/>
          <w:sz w:val="24"/>
          <w:szCs w:val="24"/>
        </w:rPr>
        <w:t xml:space="preserve">submitted </w:t>
      </w:r>
      <w:r w:rsidR="00BD4005">
        <w:rPr>
          <w:color w:val="000000" w:themeColor="text1"/>
          <w:sz w:val="24"/>
          <w:szCs w:val="24"/>
        </w:rPr>
        <w:t xml:space="preserve">by </w:t>
      </w:r>
      <w:r>
        <w:rPr>
          <w:color w:val="000000" w:themeColor="text1"/>
          <w:sz w:val="24"/>
          <w:szCs w:val="24"/>
        </w:rPr>
        <w:t>NIRI</w:t>
      </w:r>
      <w:r w:rsidR="00BD400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043D90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NYSE Group</w:t>
      </w:r>
      <w:r w:rsidR="00BD400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AE3949">
        <w:rPr>
          <w:color w:val="000000" w:themeColor="text1"/>
          <w:sz w:val="24"/>
          <w:szCs w:val="24"/>
        </w:rPr>
        <w:t>the Society for Corporate Governance</w:t>
      </w:r>
      <w:r w:rsidR="00ED0A29">
        <w:rPr>
          <w:color w:val="000000" w:themeColor="text1"/>
          <w:sz w:val="24"/>
          <w:szCs w:val="24"/>
        </w:rPr>
        <w:t>, and Nasdaq</w:t>
      </w:r>
      <w:r>
        <w:rPr>
          <w:color w:val="000000" w:themeColor="text1"/>
          <w:sz w:val="24"/>
          <w:szCs w:val="24"/>
        </w:rPr>
        <w:t>.</w:t>
      </w:r>
      <w:r w:rsidR="00AE3949">
        <w:rPr>
          <w:rStyle w:val="FootnoteReference"/>
          <w:color w:val="000000" w:themeColor="text1"/>
          <w:sz w:val="24"/>
          <w:szCs w:val="24"/>
        </w:rPr>
        <w:footnoteReference w:id="1"/>
      </w:r>
      <w:r w:rsidR="00A1025C">
        <w:rPr>
          <w:color w:val="000000" w:themeColor="text1"/>
          <w:sz w:val="24"/>
          <w:szCs w:val="24"/>
        </w:rPr>
        <w:t xml:space="preserve">  </w:t>
      </w:r>
      <w:r w:rsidR="00DF5A25">
        <w:rPr>
          <w:color w:val="000000" w:themeColor="text1"/>
          <w:sz w:val="24"/>
          <w:szCs w:val="24"/>
        </w:rPr>
        <w:t>Rather than</w:t>
      </w:r>
      <w:r w:rsidR="00BD4005">
        <w:rPr>
          <w:color w:val="000000" w:themeColor="text1"/>
          <w:sz w:val="24"/>
          <w:szCs w:val="24"/>
        </w:rPr>
        <w:t xml:space="preserve"> allow 89 percent of current 13F filers to go dark, we urge the Commission to reduce the archaic 45-day</w:t>
      </w:r>
      <w:r w:rsidR="0012130F">
        <w:rPr>
          <w:color w:val="000000" w:themeColor="text1"/>
          <w:sz w:val="24"/>
          <w:szCs w:val="24"/>
        </w:rPr>
        <w:t xml:space="preserve"> </w:t>
      </w:r>
      <w:r w:rsidR="00BD4005">
        <w:rPr>
          <w:color w:val="000000" w:themeColor="text1"/>
          <w:sz w:val="24"/>
          <w:szCs w:val="24"/>
        </w:rPr>
        <w:t xml:space="preserve">reporting period, require 13F </w:t>
      </w:r>
      <w:r w:rsidR="0012130F">
        <w:rPr>
          <w:color w:val="000000" w:themeColor="text1"/>
          <w:sz w:val="24"/>
          <w:szCs w:val="24"/>
        </w:rPr>
        <w:t xml:space="preserve">filers </w:t>
      </w:r>
      <w:r w:rsidR="00BD4005">
        <w:rPr>
          <w:color w:val="000000" w:themeColor="text1"/>
          <w:sz w:val="24"/>
          <w:szCs w:val="24"/>
        </w:rPr>
        <w:t xml:space="preserve">to disclose short positions, and </w:t>
      </w:r>
      <w:r w:rsidR="001265E0">
        <w:rPr>
          <w:color w:val="000000" w:themeColor="text1"/>
          <w:sz w:val="24"/>
          <w:szCs w:val="24"/>
        </w:rPr>
        <w:t xml:space="preserve">support </w:t>
      </w:r>
      <w:r w:rsidR="0012130F">
        <w:rPr>
          <w:color w:val="000000" w:themeColor="text1"/>
          <w:sz w:val="24"/>
          <w:szCs w:val="24"/>
        </w:rPr>
        <w:t>legislation to provide for monthly disclosure.</w:t>
      </w:r>
      <w:r w:rsidR="0012130F">
        <w:rPr>
          <w:rStyle w:val="FootnoteReference"/>
          <w:color w:val="000000" w:themeColor="text1"/>
          <w:sz w:val="24"/>
          <w:szCs w:val="24"/>
        </w:rPr>
        <w:footnoteReference w:id="2"/>
      </w:r>
      <w:r w:rsidR="0012130F">
        <w:rPr>
          <w:color w:val="000000" w:themeColor="text1"/>
          <w:sz w:val="24"/>
          <w:szCs w:val="24"/>
        </w:rPr>
        <w:t xml:space="preserve"> </w:t>
      </w:r>
    </w:p>
    <w:p w14:paraId="7564DDF0" w14:textId="77777777" w:rsidR="0012130F" w:rsidRDefault="0012130F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2F2A51AE" w14:textId="098F109F" w:rsidR="002427CD" w:rsidRDefault="008C0387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Since the Commission’s Form 13F rules were adopted more than 40 years</w:t>
      </w:r>
      <w:r w:rsidR="00043D90">
        <w:rPr>
          <w:color w:val="000000" w:themeColor="text1"/>
          <w:sz w:val="24"/>
          <w:szCs w:val="24"/>
        </w:rPr>
        <w:t xml:space="preserve"> ago</w:t>
      </w:r>
      <w:r>
        <w:rPr>
          <w:color w:val="000000" w:themeColor="text1"/>
          <w:sz w:val="24"/>
          <w:szCs w:val="24"/>
        </w:rPr>
        <w:t>,</w:t>
      </w:r>
      <w:r w:rsidR="00043D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there has been </w:t>
      </w:r>
      <w:r w:rsidR="001265E0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 xml:space="preserve">dramatic </w:t>
      </w:r>
      <w:r w:rsidR="006C173C">
        <w:rPr>
          <w:color w:val="000000" w:themeColor="text1"/>
          <w:sz w:val="24"/>
          <w:szCs w:val="24"/>
        </w:rPr>
        <w:t>increase in engagement between in</w:t>
      </w:r>
      <w:r w:rsidR="001265E0">
        <w:rPr>
          <w:color w:val="000000" w:themeColor="text1"/>
          <w:sz w:val="24"/>
          <w:szCs w:val="24"/>
        </w:rPr>
        <w:t>stitutional in</w:t>
      </w:r>
      <w:r w:rsidR="006C173C">
        <w:rPr>
          <w:color w:val="000000" w:themeColor="text1"/>
          <w:sz w:val="24"/>
          <w:szCs w:val="24"/>
        </w:rPr>
        <w:t xml:space="preserve">vestors and the </w:t>
      </w:r>
      <w:r>
        <w:rPr>
          <w:color w:val="000000" w:themeColor="text1"/>
          <w:sz w:val="24"/>
          <w:szCs w:val="24"/>
        </w:rPr>
        <w:t xml:space="preserve">public companies </w:t>
      </w:r>
      <w:r w:rsidR="00DA4929">
        <w:rPr>
          <w:color w:val="000000" w:themeColor="text1"/>
          <w:sz w:val="24"/>
          <w:szCs w:val="24"/>
        </w:rPr>
        <w:t xml:space="preserve">with whom </w:t>
      </w:r>
      <w:r w:rsidR="006C173C">
        <w:rPr>
          <w:color w:val="000000" w:themeColor="text1"/>
          <w:sz w:val="24"/>
          <w:szCs w:val="24"/>
        </w:rPr>
        <w:t>they invest</w:t>
      </w:r>
      <w:r>
        <w:rPr>
          <w:color w:val="000000" w:themeColor="text1"/>
          <w:sz w:val="24"/>
          <w:szCs w:val="24"/>
        </w:rPr>
        <w:t xml:space="preserve">. Investors have </w:t>
      </w:r>
      <w:r w:rsidR="002C0DC2">
        <w:rPr>
          <w:color w:val="000000" w:themeColor="text1"/>
          <w:sz w:val="24"/>
          <w:szCs w:val="24"/>
        </w:rPr>
        <w:t xml:space="preserve">become more active in engaging with </w:t>
      </w:r>
      <w:r w:rsidR="00225E0F">
        <w:rPr>
          <w:color w:val="000000" w:themeColor="text1"/>
          <w:sz w:val="24"/>
          <w:szCs w:val="24"/>
        </w:rPr>
        <w:t xml:space="preserve">issuers </w:t>
      </w:r>
      <w:r w:rsidR="002C0DC2">
        <w:rPr>
          <w:color w:val="000000" w:themeColor="text1"/>
          <w:sz w:val="24"/>
          <w:szCs w:val="24"/>
        </w:rPr>
        <w:t xml:space="preserve">on many </w:t>
      </w:r>
      <w:r w:rsidR="001265E0">
        <w:rPr>
          <w:color w:val="000000" w:themeColor="text1"/>
          <w:sz w:val="24"/>
          <w:szCs w:val="24"/>
        </w:rPr>
        <w:t xml:space="preserve">important </w:t>
      </w:r>
      <w:r w:rsidR="002C0DC2">
        <w:rPr>
          <w:color w:val="000000" w:themeColor="text1"/>
          <w:sz w:val="24"/>
          <w:szCs w:val="24"/>
        </w:rPr>
        <w:t>matters, including capital allocation decisions, long-term strategy, M&amp;A, and corporate governance. In response, companies</w:t>
      </w:r>
      <w:r w:rsidR="002406B6">
        <w:rPr>
          <w:color w:val="000000" w:themeColor="text1"/>
          <w:sz w:val="24"/>
          <w:szCs w:val="24"/>
        </w:rPr>
        <w:t xml:space="preserve"> </w:t>
      </w:r>
      <w:r w:rsidR="00256A98">
        <w:rPr>
          <w:color w:val="000000" w:themeColor="text1"/>
          <w:sz w:val="24"/>
          <w:szCs w:val="24"/>
        </w:rPr>
        <w:t xml:space="preserve">have </w:t>
      </w:r>
      <w:r w:rsidR="002C0DC2">
        <w:rPr>
          <w:color w:val="000000" w:themeColor="text1"/>
          <w:sz w:val="24"/>
          <w:szCs w:val="24"/>
        </w:rPr>
        <w:t xml:space="preserve">hired </w:t>
      </w:r>
      <w:r w:rsidR="00256A98">
        <w:rPr>
          <w:color w:val="000000" w:themeColor="text1"/>
          <w:sz w:val="24"/>
          <w:szCs w:val="24"/>
        </w:rPr>
        <w:t xml:space="preserve">and/or engaged </w:t>
      </w:r>
      <w:r w:rsidR="002C0DC2">
        <w:rPr>
          <w:color w:val="000000" w:themeColor="text1"/>
          <w:sz w:val="24"/>
          <w:szCs w:val="24"/>
        </w:rPr>
        <w:t xml:space="preserve">investor relations </w:t>
      </w:r>
      <w:r w:rsidR="00256A98">
        <w:rPr>
          <w:color w:val="000000" w:themeColor="text1"/>
          <w:sz w:val="24"/>
          <w:szCs w:val="24"/>
        </w:rPr>
        <w:t>professionals</w:t>
      </w:r>
      <w:r w:rsidR="002406B6">
        <w:rPr>
          <w:color w:val="000000" w:themeColor="text1"/>
          <w:sz w:val="24"/>
          <w:szCs w:val="24"/>
        </w:rPr>
        <w:t xml:space="preserve"> </w:t>
      </w:r>
      <w:r w:rsidR="002C0DC2">
        <w:rPr>
          <w:color w:val="000000" w:themeColor="text1"/>
          <w:sz w:val="24"/>
          <w:szCs w:val="24"/>
        </w:rPr>
        <w:t xml:space="preserve">to ensure that the </w:t>
      </w:r>
      <w:r w:rsidR="001265E0">
        <w:rPr>
          <w:color w:val="000000" w:themeColor="text1"/>
          <w:sz w:val="24"/>
          <w:szCs w:val="24"/>
        </w:rPr>
        <w:t xml:space="preserve">concerns </w:t>
      </w:r>
      <w:r w:rsidR="002C0DC2">
        <w:rPr>
          <w:color w:val="000000" w:themeColor="text1"/>
          <w:sz w:val="24"/>
          <w:szCs w:val="24"/>
        </w:rPr>
        <w:t xml:space="preserve">of investors are heard and conveyed to senior executives and directors. </w:t>
      </w:r>
    </w:p>
    <w:p w14:paraId="73EBDBF4" w14:textId="77777777" w:rsidR="002427CD" w:rsidRDefault="002427CD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094BA4AD" w14:textId="4261085A" w:rsidR="00356A31" w:rsidRDefault="00F54BF9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One of the most important duties of </w:t>
      </w:r>
      <w:r w:rsidR="002C0DC2">
        <w:rPr>
          <w:color w:val="000000" w:themeColor="text1"/>
          <w:sz w:val="24"/>
          <w:szCs w:val="24"/>
        </w:rPr>
        <w:t>these</w:t>
      </w:r>
      <w:r w:rsidR="002406B6">
        <w:rPr>
          <w:color w:val="000000" w:themeColor="text1"/>
          <w:sz w:val="24"/>
          <w:szCs w:val="24"/>
        </w:rPr>
        <w:t xml:space="preserve"> IR</w:t>
      </w:r>
      <w:r w:rsidR="0099496C">
        <w:rPr>
          <w:color w:val="000000" w:themeColor="text1"/>
          <w:sz w:val="24"/>
          <w:szCs w:val="24"/>
        </w:rPr>
        <w:t xml:space="preserve"> </w:t>
      </w:r>
      <w:r w:rsidR="002C0DC2">
        <w:rPr>
          <w:color w:val="000000" w:themeColor="text1"/>
          <w:sz w:val="24"/>
          <w:szCs w:val="24"/>
        </w:rPr>
        <w:t>professionals</w:t>
      </w:r>
      <w:r>
        <w:rPr>
          <w:color w:val="000000" w:themeColor="text1"/>
          <w:sz w:val="24"/>
          <w:szCs w:val="24"/>
        </w:rPr>
        <w:t xml:space="preserve"> is </w:t>
      </w:r>
      <w:r w:rsidR="005A43F4">
        <w:rPr>
          <w:color w:val="000000" w:themeColor="text1"/>
          <w:sz w:val="24"/>
          <w:szCs w:val="24"/>
        </w:rPr>
        <w:t>to</w:t>
      </w:r>
      <w:r w:rsidR="006C173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respond </w:t>
      </w:r>
      <w:r w:rsidR="002C0DC2">
        <w:rPr>
          <w:color w:val="000000" w:themeColor="text1"/>
          <w:sz w:val="24"/>
          <w:szCs w:val="24"/>
        </w:rPr>
        <w:t xml:space="preserve">promptly </w:t>
      </w:r>
      <w:r>
        <w:rPr>
          <w:color w:val="000000" w:themeColor="text1"/>
          <w:sz w:val="24"/>
          <w:szCs w:val="24"/>
        </w:rPr>
        <w:t>to requests from investors for calls or meetings with C-</w:t>
      </w:r>
      <w:r w:rsidR="00D02D7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uite executives</w:t>
      </w:r>
      <w:r w:rsidR="00D02D78">
        <w:rPr>
          <w:color w:val="000000" w:themeColor="text1"/>
          <w:sz w:val="24"/>
          <w:szCs w:val="24"/>
        </w:rPr>
        <w:t xml:space="preserve"> </w:t>
      </w:r>
      <w:r w:rsidR="00225E0F">
        <w:rPr>
          <w:color w:val="000000" w:themeColor="text1"/>
          <w:sz w:val="24"/>
          <w:szCs w:val="24"/>
        </w:rPr>
        <w:t>or</w:t>
      </w:r>
      <w:r w:rsidR="006C173C">
        <w:rPr>
          <w:color w:val="000000" w:themeColor="text1"/>
          <w:sz w:val="24"/>
          <w:szCs w:val="24"/>
        </w:rPr>
        <w:t xml:space="preserve"> </w:t>
      </w:r>
      <w:r w:rsidR="001265E0">
        <w:rPr>
          <w:color w:val="000000" w:themeColor="text1"/>
          <w:sz w:val="24"/>
          <w:szCs w:val="24"/>
        </w:rPr>
        <w:t>d</w:t>
      </w:r>
      <w:r w:rsidR="00D02D78">
        <w:rPr>
          <w:color w:val="000000" w:themeColor="text1"/>
          <w:sz w:val="24"/>
          <w:szCs w:val="24"/>
        </w:rPr>
        <w:t>irectors</w:t>
      </w:r>
      <w:r>
        <w:rPr>
          <w:color w:val="000000" w:themeColor="text1"/>
          <w:sz w:val="24"/>
          <w:szCs w:val="24"/>
        </w:rPr>
        <w:t>. At most companies</w:t>
      </w:r>
      <w:r w:rsidR="00D02D78">
        <w:rPr>
          <w:color w:val="000000" w:themeColor="text1"/>
          <w:sz w:val="24"/>
          <w:szCs w:val="24"/>
        </w:rPr>
        <w:t>, the volume of requests far exceeds</w:t>
      </w:r>
      <w:r>
        <w:rPr>
          <w:color w:val="000000" w:themeColor="text1"/>
          <w:sz w:val="24"/>
          <w:szCs w:val="24"/>
        </w:rPr>
        <w:t xml:space="preserve"> </w:t>
      </w:r>
      <w:r w:rsidR="00D02D78">
        <w:rPr>
          <w:color w:val="000000" w:themeColor="text1"/>
          <w:sz w:val="24"/>
          <w:szCs w:val="24"/>
        </w:rPr>
        <w:t>the scarce executive (or director) time available for such</w:t>
      </w:r>
      <w:r w:rsidR="004356EF">
        <w:rPr>
          <w:color w:val="000000" w:themeColor="text1"/>
          <w:sz w:val="24"/>
          <w:szCs w:val="24"/>
        </w:rPr>
        <w:t xml:space="preserve"> </w:t>
      </w:r>
      <w:r w:rsidR="00D02D78">
        <w:rPr>
          <w:color w:val="000000" w:themeColor="text1"/>
          <w:sz w:val="24"/>
          <w:szCs w:val="24"/>
        </w:rPr>
        <w:t xml:space="preserve">engagement, so </w:t>
      </w:r>
      <w:r w:rsidR="002406B6">
        <w:rPr>
          <w:color w:val="000000" w:themeColor="text1"/>
          <w:sz w:val="24"/>
          <w:szCs w:val="24"/>
        </w:rPr>
        <w:t xml:space="preserve">IR </w:t>
      </w:r>
      <w:r w:rsidR="00256A98">
        <w:rPr>
          <w:color w:val="000000" w:themeColor="text1"/>
          <w:sz w:val="24"/>
          <w:szCs w:val="24"/>
        </w:rPr>
        <w:t>professionals</w:t>
      </w:r>
      <w:r w:rsidR="00D02D78">
        <w:rPr>
          <w:color w:val="000000" w:themeColor="text1"/>
          <w:sz w:val="24"/>
          <w:szCs w:val="24"/>
        </w:rPr>
        <w:t xml:space="preserve"> have to </w:t>
      </w:r>
      <w:r w:rsidR="00256A98">
        <w:rPr>
          <w:color w:val="000000" w:themeColor="text1"/>
          <w:sz w:val="24"/>
          <w:szCs w:val="24"/>
        </w:rPr>
        <w:t xml:space="preserve">help </w:t>
      </w:r>
      <w:r w:rsidR="00D02D78">
        <w:rPr>
          <w:color w:val="000000" w:themeColor="text1"/>
          <w:sz w:val="24"/>
          <w:szCs w:val="24"/>
        </w:rPr>
        <w:t>decide which investors should have priority.</w:t>
      </w:r>
      <w:r w:rsidR="00225E0F">
        <w:rPr>
          <w:color w:val="000000" w:themeColor="text1"/>
          <w:sz w:val="24"/>
          <w:szCs w:val="24"/>
        </w:rPr>
        <w:t xml:space="preserve"> </w:t>
      </w:r>
      <w:r w:rsidR="00356A31">
        <w:rPr>
          <w:color w:val="000000" w:themeColor="text1"/>
          <w:sz w:val="24"/>
          <w:szCs w:val="24"/>
        </w:rPr>
        <w:t xml:space="preserve">To make these determinations, most U.S. issuers rely heavily on the </w:t>
      </w:r>
      <w:r w:rsidR="001265E0">
        <w:rPr>
          <w:color w:val="000000" w:themeColor="text1"/>
          <w:sz w:val="24"/>
          <w:szCs w:val="24"/>
        </w:rPr>
        <w:t xml:space="preserve">quarterly </w:t>
      </w:r>
      <w:r w:rsidR="00356A31">
        <w:rPr>
          <w:color w:val="000000" w:themeColor="text1"/>
          <w:sz w:val="24"/>
          <w:szCs w:val="24"/>
        </w:rPr>
        <w:t>ownership information in 13F filings</w:t>
      </w:r>
      <w:r w:rsidR="00B978E9">
        <w:rPr>
          <w:color w:val="000000" w:themeColor="text1"/>
          <w:sz w:val="24"/>
          <w:szCs w:val="24"/>
        </w:rPr>
        <w:t>, the only accurate source available</w:t>
      </w:r>
      <w:r w:rsidR="00356A31">
        <w:rPr>
          <w:color w:val="000000" w:themeColor="text1"/>
          <w:sz w:val="24"/>
          <w:szCs w:val="24"/>
        </w:rPr>
        <w:t>.</w:t>
      </w:r>
      <w:r w:rsidR="00356A31">
        <w:rPr>
          <w:rStyle w:val="FootnoteReference"/>
          <w:color w:val="000000" w:themeColor="text1"/>
          <w:sz w:val="24"/>
          <w:szCs w:val="24"/>
        </w:rPr>
        <w:footnoteReference w:id="3"/>
      </w:r>
      <w:r w:rsidR="00356A31">
        <w:rPr>
          <w:color w:val="000000" w:themeColor="text1"/>
          <w:sz w:val="24"/>
          <w:szCs w:val="24"/>
        </w:rPr>
        <w:t xml:space="preserve"> </w:t>
      </w:r>
    </w:p>
    <w:p w14:paraId="3502BE32" w14:textId="77777777" w:rsidR="00356A31" w:rsidRDefault="00356A31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272A07CC" w14:textId="2A9D81F4" w:rsidR="002427CD" w:rsidRPr="001265E0" w:rsidRDefault="00356A31" w:rsidP="00C77A1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</w:t>
      </w:r>
      <w:r w:rsidR="00ED0A29">
        <w:rPr>
          <w:color w:val="000000" w:themeColor="text1"/>
          <w:sz w:val="24"/>
          <w:szCs w:val="24"/>
        </w:rPr>
        <w:t xml:space="preserve"> Commission’s </w:t>
      </w:r>
      <w:r>
        <w:rPr>
          <w:color w:val="000000" w:themeColor="text1"/>
          <w:sz w:val="24"/>
          <w:szCs w:val="24"/>
        </w:rPr>
        <w:t>propo</w:t>
      </w:r>
      <w:r w:rsidR="006C173C">
        <w:rPr>
          <w:color w:val="000000" w:themeColor="text1"/>
          <w:sz w:val="24"/>
          <w:szCs w:val="24"/>
        </w:rPr>
        <w:t>sed amendments</w:t>
      </w:r>
      <w:r>
        <w:rPr>
          <w:color w:val="000000" w:themeColor="text1"/>
          <w:sz w:val="24"/>
          <w:szCs w:val="24"/>
        </w:rPr>
        <w:t xml:space="preserve"> would </w:t>
      </w:r>
      <w:r w:rsidR="00DA4929">
        <w:rPr>
          <w:color w:val="000000" w:themeColor="text1"/>
          <w:sz w:val="24"/>
          <w:szCs w:val="24"/>
        </w:rPr>
        <w:t xml:space="preserve">seriously </w:t>
      </w:r>
      <w:r>
        <w:rPr>
          <w:color w:val="000000" w:themeColor="text1"/>
          <w:sz w:val="24"/>
          <w:szCs w:val="24"/>
        </w:rPr>
        <w:t xml:space="preserve">jeopardize </w:t>
      </w:r>
      <w:r w:rsidR="002427CD">
        <w:rPr>
          <w:color w:val="000000" w:themeColor="text1"/>
          <w:sz w:val="24"/>
          <w:szCs w:val="24"/>
        </w:rPr>
        <w:t>the robust</w:t>
      </w:r>
      <w:r w:rsidR="0099496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engagement </w:t>
      </w:r>
      <w:r w:rsidR="002427CD">
        <w:rPr>
          <w:color w:val="000000" w:themeColor="text1"/>
          <w:sz w:val="24"/>
          <w:szCs w:val="24"/>
        </w:rPr>
        <w:t xml:space="preserve">by U.S. companies </w:t>
      </w:r>
      <w:r>
        <w:rPr>
          <w:color w:val="000000" w:themeColor="text1"/>
          <w:sz w:val="24"/>
          <w:szCs w:val="24"/>
        </w:rPr>
        <w:t xml:space="preserve">by excluding </w:t>
      </w:r>
      <w:r w:rsidR="001265E0">
        <w:rPr>
          <w:color w:val="000000" w:themeColor="text1"/>
          <w:sz w:val="24"/>
          <w:szCs w:val="24"/>
        </w:rPr>
        <w:t xml:space="preserve">more than </w:t>
      </w:r>
      <w:r>
        <w:rPr>
          <w:color w:val="000000" w:themeColor="text1"/>
          <w:sz w:val="24"/>
          <w:szCs w:val="24"/>
        </w:rPr>
        <w:t xml:space="preserve">4,500 investment managers from disclosure. </w:t>
      </w:r>
      <w:r w:rsidR="005E2760">
        <w:rPr>
          <w:color w:val="000000" w:themeColor="text1"/>
          <w:sz w:val="24"/>
          <w:szCs w:val="24"/>
        </w:rPr>
        <w:t xml:space="preserve">These managers </w:t>
      </w:r>
      <w:r w:rsidR="00043D90">
        <w:rPr>
          <w:color w:val="000000" w:themeColor="text1"/>
          <w:sz w:val="24"/>
          <w:szCs w:val="24"/>
        </w:rPr>
        <w:t xml:space="preserve">include </w:t>
      </w:r>
      <w:r w:rsidR="006C173C">
        <w:rPr>
          <w:color w:val="000000" w:themeColor="text1"/>
          <w:sz w:val="24"/>
          <w:szCs w:val="24"/>
        </w:rPr>
        <w:t>a number of well-known hedge fund</w:t>
      </w:r>
      <w:r w:rsidR="005E2760">
        <w:rPr>
          <w:color w:val="000000" w:themeColor="text1"/>
          <w:sz w:val="24"/>
          <w:szCs w:val="24"/>
        </w:rPr>
        <w:t xml:space="preserve"> executives </w:t>
      </w:r>
      <w:r w:rsidR="00043D90">
        <w:rPr>
          <w:color w:val="000000" w:themeColor="text1"/>
          <w:sz w:val="24"/>
          <w:szCs w:val="24"/>
        </w:rPr>
        <w:t>and billionaire investors</w:t>
      </w:r>
      <w:r w:rsidR="00ED0A29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who fall under the proposed $3.5 billion</w:t>
      </w:r>
      <w:r w:rsidR="00043D90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threshold because they do</w:t>
      </w:r>
      <w:r w:rsidR="00754098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>n</w:t>
      </w:r>
      <w:r w:rsidR="00754098">
        <w:rPr>
          <w:color w:val="000000" w:themeColor="text1"/>
          <w:sz w:val="24"/>
          <w:szCs w:val="24"/>
        </w:rPr>
        <w:t>o</w:t>
      </w:r>
      <w:r w:rsidR="006C173C">
        <w:rPr>
          <w:color w:val="000000" w:themeColor="text1"/>
          <w:sz w:val="24"/>
          <w:szCs w:val="24"/>
        </w:rPr>
        <w:t>t</w:t>
      </w:r>
      <w:r w:rsidR="007A58C4">
        <w:rPr>
          <w:color w:val="000000" w:themeColor="text1"/>
          <w:sz w:val="24"/>
          <w:szCs w:val="24"/>
        </w:rPr>
        <w:t xml:space="preserve"> </w:t>
      </w:r>
      <w:r w:rsidR="006C173C">
        <w:rPr>
          <w:color w:val="000000" w:themeColor="text1"/>
          <w:sz w:val="24"/>
          <w:szCs w:val="24"/>
        </w:rPr>
        <w:t xml:space="preserve">hold a significant volume of </w:t>
      </w:r>
      <w:r w:rsidR="00754098">
        <w:rPr>
          <w:color w:val="000000" w:themeColor="text1"/>
          <w:sz w:val="24"/>
          <w:szCs w:val="24"/>
        </w:rPr>
        <w:t>13(f) securities</w:t>
      </w:r>
      <w:r w:rsidR="006C173C">
        <w:rPr>
          <w:color w:val="000000" w:themeColor="text1"/>
          <w:sz w:val="24"/>
          <w:szCs w:val="24"/>
        </w:rPr>
        <w:t xml:space="preserve"> on a long-term basis.</w:t>
      </w:r>
      <w:r w:rsidR="00043D90">
        <w:rPr>
          <w:rStyle w:val="FootnoteReference"/>
          <w:color w:val="000000" w:themeColor="text1"/>
          <w:sz w:val="24"/>
          <w:szCs w:val="24"/>
        </w:rPr>
        <w:footnoteReference w:id="4"/>
      </w:r>
      <w:r w:rsidR="009B747E">
        <w:rPr>
          <w:color w:val="000000" w:themeColor="text1"/>
          <w:sz w:val="24"/>
          <w:szCs w:val="24"/>
        </w:rPr>
        <w:t xml:space="preserve">  </w:t>
      </w:r>
      <w:r w:rsidR="006C173C" w:rsidRPr="001265E0">
        <w:rPr>
          <w:color w:val="000000" w:themeColor="text1"/>
          <w:sz w:val="24"/>
          <w:szCs w:val="24"/>
        </w:rPr>
        <w:t xml:space="preserve">While companies would continue </w:t>
      </w:r>
      <w:r w:rsidR="0099496C">
        <w:rPr>
          <w:color w:val="000000" w:themeColor="text1"/>
          <w:sz w:val="24"/>
          <w:szCs w:val="24"/>
        </w:rPr>
        <w:t xml:space="preserve">to </w:t>
      </w:r>
      <w:r w:rsidR="006C173C" w:rsidRPr="001265E0">
        <w:rPr>
          <w:color w:val="000000" w:themeColor="text1"/>
          <w:sz w:val="24"/>
          <w:szCs w:val="24"/>
        </w:rPr>
        <w:t>receive information from the largest inv</w:t>
      </w:r>
      <w:r w:rsidR="002F175A">
        <w:rPr>
          <w:color w:val="000000" w:themeColor="text1"/>
          <w:sz w:val="24"/>
          <w:szCs w:val="24"/>
        </w:rPr>
        <w:t xml:space="preserve">estors, </w:t>
      </w:r>
      <w:r w:rsidR="006C173C" w:rsidRPr="001265E0">
        <w:rPr>
          <w:color w:val="000000" w:themeColor="text1"/>
          <w:sz w:val="24"/>
          <w:szCs w:val="24"/>
        </w:rPr>
        <w:t>many of th</w:t>
      </w:r>
      <w:r w:rsidR="002427CD" w:rsidRPr="001265E0">
        <w:rPr>
          <w:color w:val="000000" w:themeColor="text1"/>
          <w:sz w:val="24"/>
          <w:szCs w:val="24"/>
        </w:rPr>
        <w:t>ose institutions</w:t>
      </w:r>
      <w:r w:rsidR="006C173C" w:rsidRPr="001265E0">
        <w:rPr>
          <w:color w:val="000000" w:themeColor="text1"/>
          <w:sz w:val="24"/>
          <w:szCs w:val="24"/>
        </w:rPr>
        <w:t xml:space="preserve"> are passive</w:t>
      </w:r>
      <w:r w:rsidR="00ED0A29" w:rsidRPr="001265E0">
        <w:rPr>
          <w:color w:val="000000" w:themeColor="text1"/>
          <w:sz w:val="24"/>
          <w:szCs w:val="24"/>
        </w:rPr>
        <w:t xml:space="preserve">, </w:t>
      </w:r>
      <w:r w:rsidR="006C173C" w:rsidRPr="001265E0">
        <w:rPr>
          <w:color w:val="000000" w:themeColor="text1"/>
          <w:sz w:val="24"/>
          <w:szCs w:val="24"/>
        </w:rPr>
        <w:t xml:space="preserve">indexed holders </w:t>
      </w:r>
      <w:r w:rsidR="00BB5159">
        <w:rPr>
          <w:color w:val="000000" w:themeColor="text1"/>
          <w:sz w:val="24"/>
          <w:szCs w:val="24"/>
        </w:rPr>
        <w:t xml:space="preserve">with </w:t>
      </w:r>
      <w:r w:rsidR="006C173C" w:rsidRPr="001265E0">
        <w:rPr>
          <w:color w:val="000000" w:themeColor="text1"/>
          <w:sz w:val="24"/>
          <w:szCs w:val="24"/>
        </w:rPr>
        <w:t xml:space="preserve">positions </w:t>
      </w:r>
      <w:r w:rsidR="00BB5159">
        <w:rPr>
          <w:color w:val="000000" w:themeColor="text1"/>
          <w:sz w:val="24"/>
          <w:szCs w:val="24"/>
        </w:rPr>
        <w:t xml:space="preserve">that </w:t>
      </w:r>
      <w:r w:rsidR="006C173C" w:rsidRPr="001265E0">
        <w:rPr>
          <w:color w:val="000000" w:themeColor="text1"/>
          <w:sz w:val="24"/>
          <w:szCs w:val="24"/>
        </w:rPr>
        <w:t>do</w:t>
      </w:r>
      <w:r w:rsidR="007A58C4" w:rsidRPr="001265E0">
        <w:rPr>
          <w:color w:val="000000" w:themeColor="text1"/>
          <w:sz w:val="24"/>
          <w:szCs w:val="24"/>
        </w:rPr>
        <w:t xml:space="preserve"> not </w:t>
      </w:r>
      <w:r w:rsidR="006C173C" w:rsidRPr="001265E0">
        <w:rPr>
          <w:color w:val="000000" w:themeColor="text1"/>
          <w:sz w:val="24"/>
          <w:szCs w:val="24"/>
        </w:rPr>
        <w:t>change</w:t>
      </w:r>
      <w:r w:rsidRPr="001265E0">
        <w:rPr>
          <w:color w:val="000000" w:themeColor="text1"/>
          <w:sz w:val="24"/>
          <w:szCs w:val="24"/>
        </w:rPr>
        <w:t xml:space="preserve"> </w:t>
      </w:r>
      <w:r w:rsidR="00852A1B">
        <w:rPr>
          <w:color w:val="000000" w:themeColor="text1"/>
          <w:sz w:val="24"/>
          <w:szCs w:val="24"/>
        </w:rPr>
        <w:t>appreciably</w:t>
      </w:r>
      <w:r w:rsidR="002F175A">
        <w:rPr>
          <w:color w:val="000000" w:themeColor="text1"/>
          <w:sz w:val="24"/>
          <w:szCs w:val="24"/>
        </w:rPr>
        <w:t xml:space="preserve"> </w:t>
      </w:r>
      <w:r w:rsidR="00852A1B">
        <w:rPr>
          <w:color w:val="000000" w:themeColor="text1"/>
          <w:sz w:val="24"/>
          <w:szCs w:val="24"/>
        </w:rPr>
        <w:t xml:space="preserve">each </w:t>
      </w:r>
      <w:r w:rsidR="006C173C" w:rsidRPr="001265E0">
        <w:rPr>
          <w:color w:val="000000" w:themeColor="text1"/>
          <w:sz w:val="24"/>
          <w:szCs w:val="24"/>
        </w:rPr>
        <w:t>quarter.</w:t>
      </w:r>
      <w:r w:rsidR="009B747E">
        <w:rPr>
          <w:color w:val="000000" w:themeColor="text1"/>
          <w:sz w:val="24"/>
          <w:szCs w:val="24"/>
        </w:rPr>
        <w:t xml:space="preserve">  </w:t>
      </w:r>
      <w:r w:rsidR="006C173C" w:rsidRPr="001265E0">
        <w:rPr>
          <w:color w:val="000000" w:themeColor="text1"/>
          <w:sz w:val="24"/>
          <w:szCs w:val="24"/>
        </w:rPr>
        <w:t>For many companies, it</w:t>
      </w:r>
      <w:r w:rsidR="00BB5159">
        <w:rPr>
          <w:color w:val="000000" w:themeColor="text1"/>
          <w:sz w:val="24"/>
          <w:szCs w:val="24"/>
        </w:rPr>
        <w:t xml:space="preserve"> is </w:t>
      </w:r>
      <w:r w:rsidR="006C173C" w:rsidRPr="001265E0">
        <w:rPr>
          <w:color w:val="000000" w:themeColor="text1"/>
          <w:sz w:val="24"/>
          <w:szCs w:val="24"/>
        </w:rPr>
        <w:t xml:space="preserve">the </w:t>
      </w:r>
      <w:r w:rsidR="007A58C4" w:rsidRPr="001265E0">
        <w:rPr>
          <w:color w:val="000000" w:themeColor="text1"/>
          <w:sz w:val="24"/>
          <w:szCs w:val="24"/>
        </w:rPr>
        <w:t>13F</w:t>
      </w:r>
      <w:r w:rsidR="006C173C" w:rsidRPr="001265E0">
        <w:rPr>
          <w:color w:val="000000" w:themeColor="text1"/>
          <w:sz w:val="24"/>
          <w:szCs w:val="24"/>
        </w:rPr>
        <w:t xml:space="preserve"> data from the </w:t>
      </w:r>
      <w:r w:rsidR="007A58C4" w:rsidRPr="001265E0">
        <w:rPr>
          <w:color w:val="000000" w:themeColor="text1"/>
          <w:sz w:val="24"/>
          <w:szCs w:val="24"/>
        </w:rPr>
        <w:t xml:space="preserve">more </w:t>
      </w:r>
      <w:r w:rsidR="006C173C" w:rsidRPr="001265E0">
        <w:rPr>
          <w:color w:val="000000" w:themeColor="text1"/>
          <w:sz w:val="24"/>
          <w:szCs w:val="24"/>
        </w:rPr>
        <w:t>active investment managers under the</w:t>
      </w:r>
      <w:r w:rsidR="002406B6">
        <w:rPr>
          <w:color w:val="000000" w:themeColor="text1"/>
          <w:sz w:val="24"/>
          <w:szCs w:val="24"/>
        </w:rPr>
        <w:t xml:space="preserve"> </w:t>
      </w:r>
      <w:r w:rsidR="006C173C" w:rsidRPr="001265E0">
        <w:rPr>
          <w:color w:val="000000" w:themeColor="text1"/>
          <w:sz w:val="24"/>
          <w:szCs w:val="24"/>
        </w:rPr>
        <w:t>$3.5 billion threshold that is mo</w:t>
      </w:r>
      <w:r w:rsidR="00C77A18">
        <w:rPr>
          <w:color w:val="000000" w:themeColor="text1"/>
          <w:sz w:val="24"/>
          <w:szCs w:val="24"/>
        </w:rPr>
        <w:t xml:space="preserve">re </w:t>
      </w:r>
      <w:r w:rsidR="006C173C" w:rsidRPr="001265E0">
        <w:rPr>
          <w:color w:val="000000" w:themeColor="text1"/>
          <w:sz w:val="24"/>
          <w:szCs w:val="24"/>
        </w:rPr>
        <w:t>valuable.</w:t>
      </w:r>
      <w:r w:rsidR="002F175A">
        <w:rPr>
          <w:color w:val="000000" w:themeColor="text1"/>
          <w:sz w:val="24"/>
          <w:szCs w:val="24"/>
        </w:rPr>
        <w:t xml:space="preserve">  </w:t>
      </w:r>
      <w:r w:rsidR="006C173C" w:rsidRPr="001265E0">
        <w:rPr>
          <w:color w:val="000000" w:themeColor="text1"/>
          <w:sz w:val="24"/>
          <w:szCs w:val="24"/>
        </w:rPr>
        <w:t>Small and mid-cap</w:t>
      </w:r>
      <w:r w:rsidR="002427CD" w:rsidRPr="001265E0">
        <w:rPr>
          <w:color w:val="000000" w:themeColor="text1"/>
          <w:sz w:val="24"/>
          <w:szCs w:val="24"/>
        </w:rPr>
        <w:t xml:space="preserve"> issuers, which typically have a greater percentage of these investors, would be especially</w:t>
      </w:r>
      <w:r w:rsidR="00BB5159">
        <w:rPr>
          <w:color w:val="000000" w:themeColor="text1"/>
          <w:sz w:val="24"/>
          <w:szCs w:val="24"/>
        </w:rPr>
        <w:t xml:space="preserve"> </w:t>
      </w:r>
      <w:r w:rsidR="002427CD" w:rsidRPr="001265E0">
        <w:rPr>
          <w:color w:val="000000" w:themeColor="text1"/>
          <w:sz w:val="24"/>
          <w:szCs w:val="24"/>
        </w:rPr>
        <w:t>hard hit by this loss of transparency</w:t>
      </w:r>
      <w:r w:rsidR="002F175A">
        <w:rPr>
          <w:color w:val="000000" w:themeColor="text1"/>
          <w:sz w:val="24"/>
          <w:szCs w:val="24"/>
        </w:rPr>
        <w:t>.</w:t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2F175A">
        <w:rPr>
          <w:color w:val="000000" w:themeColor="text1"/>
          <w:sz w:val="24"/>
          <w:szCs w:val="24"/>
        </w:rPr>
        <w:t xml:space="preserve"> </w:t>
      </w:r>
      <w:r w:rsidR="00225E0F" w:rsidRPr="001265E0">
        <w:rPr>
          <w:color w:val="000000" w:themeColor="text1"/>
          <w:sz w:val="24"/>
          <w:szCs w:val="24"/>
        </w:rPr>
        <w:t xml:space="preserve">Without </w:t>
      </w:r>
      <w:r w:rsidR="00852A1B">
        <w:rPr>
          <w:color w:val="000000" w:themeColor="text1"/>
          <w:sz w:val="24"/>
          <w:szCs w:val="24"/>
        </w:rPr>
        <w:t xml:space="preserve">that </w:t>
      </w:r>
      <w:r w:rsidR="002F175A">
        <w:rPr>
          <w:color w:val="000000" w:themeColor="text1"/>
          <w:sz w:val="24"/>
          <w:szCs w:val="24"/>
        </w:rPr>
        <w:t xml:space="preserve">13F </w:t>
      </w:r>
      <w:r w:rsidR="00225E0F" w:rsidRPr="001265E0">
        <w:rPr>
          <w:color w:val="000000" w:themeColor="text1"/>
          <w:sz w:val="24"/>
          <w:szCs w:val="24"/>
        </w:rPr>
        <w:t>d</w:t>
      </w:r>
      <w:r w:rsidR="005E2760">
        <w:rPr>
          <w:color w:val="000000" w:themeColor="text1"/>
          <w:sz w:val="24"/>
          <w:szCs w:val="24"/>
        </w:rPr>
        <w:t>ata</w:t>
      </w:r>
      <w:r w:rsidR="00225E0F" w:rsidRPr="001265E0">
        <w:rPr>
          <w:color w:val="000000" w:themeColor="text1"/>
          <w:sz w:val="24"/>
          <w:szCs w:val="24"/>
        </w:rPr>
        <w:t xml:space="preserve">, </w:t>
      </w:r>
      <w:r w:rsidR="00C77A18">
        <w:rPr>
          <w:color w:val="000000" w:themeColor="text1"/>
          <w:sz w:val="24"/>
          <w:szCs w:val="24"/>
        </w:rPr>
        <w:t xml:space="preserve">issuers </w:t>
      </w:r>
      <w:r w:rsidR="007A58C4" w:rsidRPr="001265E0">
        <w:rPr>
          <w:color w:val="000000" w:themeColor="text1"/>
          <w:sz w:val="24"/>
          <w:szCs w:val="24"/>
        </w:rPr>
        <w:t>may not</w:t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7A58C4" w:rsidRPr="001265E0">
        <w:rPr>
          <w:color w:val="000000" w:themeColor="text1"/>
          <w:sz w:val="24"/>
          <w:szCs w:val="24"/>
        </w:rPr>
        <w:t>realize</w:t>
      </w:r>
      <w:r w:rsidR="00225E0F" w:rsidRPr="001265E0">
        <w:rPr>
          <w:color w:val="000000" w:themeColor="text1"/>
          <w:sz w:val="24"/>
          <w:szCs w:val="24"/>
        </w:rPr>
        <w:t xml:space="preserve"> </w:t>
      </w:r>
      <w:r w:rsidR="00BB5159">
        <w:rPr>
          <w:color w:val="000000" w:themeColor="text1"/>
          <w:sz w:val="24"/>
          <w:szCs w:val="24"/>
        </w:rPr>
        <w:t xml:space="preserve">that </w:t>
      </w:r>
      <w:r w:rsidR="00225E0F" w:rsidRPr="001265E0">
        <w:rPr>
          <w:color w:val="000000" w:themeColor="text1"/>
          <w:sz w:val="24"/>
          <w:szCs w:val="24"/>
        </w:rPr>
        <w:t>activist funds</w:t>
      </w:r>
      <w:r w:rsidR="00BB5159">
        <w:rPr>
          <w:color w:val="000000" w:themeColor="text1"/>
          <w:sz w:val="24"/>
          <w:szCs w:val="24"/>
        </w:rPr>
        <w:t xml:space="preserve"> </w:t>
      </w:r>
      <w:r w:rsidR="00ED0A29" w:rsidRPr="001265E0">
        <w:rPr>
          <w:color w:val="000000" w:themeColor="text1"/>
          <w:sz w:val="24"/>
          <w:szCs w:val="24"/>
        </w:rPr>
        <w:t>are</w:t>
      </w:r>
      <w:r w:rsidR="00225E0F" w:rsidRPr="001265E0">
        <w:rPr>
          <w:color w:val="000000" w:themeColor="text1"/>
          <w:sz w:val="24"/>
          <w:szCs w:val="24"/>
        </w:rPr>
        <w:t xml:space="preserve"> plotting a proxy</w:t>
      </w:r>
      <w:r w:rsidR="002F175A">
        <w:rPr>
          <w:color w:val="000000" w:themeColor="text1"/>
          <w:sz w:val="24"/>
          <w:szCs w:val="24"/>
        </w:rPr>
        <w:t xml:space="preserve"> contest </w:t>
      </w:r>
      <w:r w:rsidR="00225E0F" w:rsidRPr="001265E0">
        <w:rPr>
          <w:color w:val="000000" w:themeColor="text1"/>
          <w:sz w:val="24"/>
          <w:szCs w:val="24"/>
        </w:rPr>
        <w:t>until one of those funds tri</w:t>
      </w:r>
      <w:r w:rsidR="005E2760">
        <w:rPr>
          <w:color w:val="000000" w:themeColor="text1"/>
          <w:sz w:val="24"/>
          <w:szCs w:val="24"/>
        </w:rPr>
        <w:t>ggers</w:t>
      </w:r>
      <w:r w:rsidR="00225E0F" w:rsidRPr="001265E0">
        <w:rPr>
          <w:color w:val="000000" w:themeColor="text1"/>
          <w:sz w:val="24"/>
          <w:szCs w:val="24"/>
        </w:rPr>
        <w:t xml:space="preserve"> the 13D disclosure threshold and surface</w:t>
      </w:r>
      <w:r w:rsidR="007A58C4" w:rsidRPr="001265E0">
        <w:rPr>
          <w:color w:val="000000" w:themeColor="text1"/>
          <w:sz w:val="24"/>
          <w:szCs w:val="24"/>
        </w:rPr>
        <w:t>s</w:t>
      </w:r>
      <w:r w:rsidR="00225E0F" w:rsidRPr="001265E0">
        <w:rPr>
          <w:color w:val="000000" w:themeColor="text1"/>
          <w:sz w:val="24"/>
          <w:szCs w:val="24"/>
        </w:rPr>
        <w:t xml:space="preserve"> with </w:t>
      </w:r>
      <w:r w:rsidR="00ED0A29" w:rsidRPr="001265E0">
        <w:rPr>
          <w:color w:val="000000" w:themeColor="text1"/>
          <w:sz w:val="24"/>
          <w:szCs w:val="24"/>
        </w:rPr>
        <w:t xml:space="preserve">a </w:t>
      </w:r>
      <w:r w:rsidR="00225E0F" w:rsidRPr="001265E0">
        <w:rPr>
          <w:color w:val="000000" w:themeColor="text1"/>
          <w:sz w:val="24"/>
          <w:szCs w:val="24"/>
        </w:rPr>
        <w:t xml:space="preserve">5 percent (or more) </w:t>
      </w:r>
      <w:r w:rsidR="00ED0A29" w:rsidRPr="001265E0">
        <w:rPr>
          <w:color w:val="000000" w:themeColor="text1"/>
          <w:sz w:val="24"/>
          <w:szCs w:val="24"/>
        </w:rPr>
        <w:t>position</w:t>
      </w:r>
      <w:r w:rsidR="00225E0F" w:rsidRPr="001265E0">
        <w:rPr>
          <w:color w:val="000000" w:themeColor="text1"/>
          <w:sz w:val="24"/>
          <w:szCs w:val="24"/>
        </w:rPr>
        <w:t>.</w:t>
      </w:r>
      <w:r w:rsidR="000676D6">
        <w:rPr>
          <w:rStyle w:val="FootnoteReference"/>
          <w:color w:val="000000" w:themeColor="text1"/>
          <w:sz w:val="24"/>
          <w:szCs w:val="24"/>
        </w:rPr>
        <w:footnoteReference w:id="5"/>
      </w:r>
      <w:r w:rsidR="00225E0F" w:rsidRPr="001265E0">
        <w:rPr>
          <w:color w:val="000000" w:themeColor="text1"/>
          <w:sz w:val="24"/>
          <w:szCs w:val="24"/>
        </w:rPr>
        <w:t xml:space="preserve"> </w:t>
      </w:r>
    </w:p>
    <w:p w14:paraId="32172D0C" w14:textId="3E2801D2" w:rsidR="002427CD" w:rsidRPr="001265E0" w:rsidRDefault="002427CD" w:rsidP="004356EF">
      <w:pPr>
        <w:spacing w:line="276" w:lineRule="auto"/>
        <w:rPr>
          <w:color w:val="000000" w:themeColor="text1"/>
          <w:sz w:val="24"/>
          <w:szCs w:val="24"/>
        </w:rPr>
      </w:pPr>
    </w:p>
    <w:p w14:paraId="1853CB9B" w14:textId="19F8C31B" w:rsidR="00765E90" w:rsidRDefault="00765E90" w:rsidP="00C77A18">
      <w:pPr>
        <w:spacing w:line="276" w:lineRule="auto"/>
        <w:rPr>
          <w:color w:val="000000" w:themeColor="text1"/>
          <w:sz w:val="24"/>
          <w:szCs w:val="24"/>
        </w:rPr>
      </w:pPr>
      <w:r w:rsidRPr="00754098">
        <w:rPr>
          <w:color w:val="000000" w:themeColor="text1"/>
          <w:sz w:val="24"/>
          <w:szCs w:val="24"/>
        </w:rPr>
        <w:t>The Commission also ha</w:t>
      </w:r>
      <w:r w:rsidR="00C91CD0">
        <w:rPr>
          <w:color w:val="000000" w:themeColor="text1"/>
          <w:sz w:val="24"/>
          <w:szCs w:val="24"/>
        </w:rPr>
        <w:t>s</w:t>
      </w:r>
      <w:r w:rsidRPr="00754098">
        <w:rPr>
          <w:color w:val="000000" w:themeColor="text1"/>
          <w:sz w:val="24"/>
          <w:szCs w:val="24"/>
        </w:rPr>
        <w:t xml:space="preserve"> not</w:t>
      </w:r>
      <w:r w:rsidR="00C91CD0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fully considered the </w:t>
      </w:r>
      <w:r w:rsidR="00C91CD0">
        <w:rPr>
          <w:color w:val="000000" w:themeColor="text1"/>
          <w:sz w:val="24"/>
          <w:szCs w:val="24"/>
        </w:rPr>
        <w:t xml:space="preserve">negative </w:t>
      </w:r>
      <w:r w:rsidRPr="00754098">
        <w:rPr>
          <w:color w:val="000000" w:themeColor="text1"/>
          <w:sz w:val="24"/>
          <w:szCs w:val="24"/>
        </w:rPr>
        <w:t xml:space="preserve">impact </w:t>
      </w:r>
      <w:r w:rsidR="00C91CD0">
        <w:rPr>
          <w:color w:val="000000" w:themeColor="text1"/>
          <w:sz w:val="24"/>
          <w:szCs w:val="24"/>
        </w:rPr>
        <w:t xml:space="preserve">of raising the 13F threshold </w:t>
      </w:r>
      <w:r w:rsidRPr="00754098">
        <w:rPr>
          <w:color w:val="000000" w:themeColor="text1"/>
          <w:sz w:val="24"/>
          <w:szCs w:val="24"/>
        </w:rPr>
        <w:t>on retail investors</w:t>
      </w:r>
      <w:r w:rsidR="000F76D3">
        <w:rPr>
          <w:color w:val="000000" w:themeColor="text1"/>
          <w:sz w:val="24"/>
          <w:szCs w:val="24"/>
        </w:rPr>
        <w:t xml:space="preserve"> and small asset managers</w:t>
      </w:r>
      <w:r w:rsidRPr="00754098">
        <w:rPr>
          <w:color w:val="000000" w:themeColor="text1"/>
          <w:sz w:val="24"/>
          <w:szCs w:val="24"/>
        </w:rPr>
        <w:t>,</w:t>
      </w:r>
      <w:r w:rsidR="000F76D3">
        <w:rPr>
          <w:color w:val="000000" w:themeColor="text1"/>
          <w:sz w:val="24"/>
          <w:szCs w:val="24"/>
        </w:rPr>
        <w:t xml:space="preserve"> </w:t>
      </w:r>
      <w:r w:rsidR="00C77A18">
        <w:rPr>
          <w:color w:val="000000" w:themeColor="text1"/>
          <w:sz w:val="24"/>
          <w:szCs w:val="24"/>
        </w:rPr>
        <w:t xml:space="preserve">many of </w:t>
      </w:r>
      <w:r w:rsidRPr="00754098">
        <w:rPr>
          <w:color w:val="000000" w:themeColor="text1"/>
          <w:sz w:val="24"/>
          <w:szCs w:val="24"/>
        </w:rPr>
        <w:t>wh</w:t>
      </w:r>
      <w:r w:rsidR="005857FD" w:rsidRPr="00754098">
        <w:rPr>
          <w:color w:val="000000" w:themeColor="text1"/>
          <w:sz w:val="24"/>
          <w:szCs w:val="24"/>
        </w:rPr>
        <w:t>o</w:t>
      </w:r>
      <w:r w:rsidR="00C77A18">
        <w:rPr>
          <w:color w:val="000000" w:themeColor="text1"/>
          <w:sz w:val="24"/>
          <w:szCs w:val="24"/>
        </w:rPr>
        <w:t>m</w:t>
      </w:r>
      <w:r w:rsidR="005857FD" w:rsidRPr="00754098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use </w:t>
      </w:r>
      <w:r w:rsidR="00355A2E">
        <w:rPr>
          <w:color w:val="000000" w:themeColor="text1"/>
          <w:sz w:val="24"/>
          <w:szCs w:val="24"/>
        </w:rPr>
        <w:t xml:space="preserve">13F </w:t>
      </w:r>
      <w:r w:rsidRPr="00754098">
        <w:rPr>
          <w:color w:val="000000" w:themeColor="text1"/>
          <w:sz w:val="24"/>
          <w:szCs w:val="24"/>
        </w:rPr>
        <w:t>data</w:t>
      </w:r>
      <w:r w:rsidR="002406B6">
        <w:rPr>
          <w:color w:val="000000" w:themeColor="text1"/>
          <w:sz w:val="24"/>
          <w:szCs w:val="24"/>
        </w:rPr>
        <w:t xml:space="preserve"> </w:t>
      </w:r>
      <w:r w:rsidRPr="00754098">
        <w:rPr>
          <w:color w:val="000000" w:themeColor="text1"/>
          <w:sz w:val="24"/>
          <w:szCs w:val="24"/>
        </w:rPr>
        <w:t xml:space="preserve">when </w:t>
      </w:r>
      <w:r w:rsidR="005857FD" w:rsidRPr="00754098">
        <w:rPr>
          <w:color w:val="000000" w:themeColor="text1"/>
          <w:sz w:val="24"/>
          <w:szCs w:val="24"/>
        </w:rPr>
        <w:t>making investment decisions</w:t>
      </w:r>
      <w:r w:rsidRPr="00754098">
        <w:rPr>
          <w:color w:val="000000" w:themeColor="text1"/>
          <w:sz w:val="24"/>
          <w:szCs w:val="24"/>
        </w:rPr>
        <w:t>.</w:t>
      </w:r>
      <w:r w:rsidRPr="00754098">
        <w:rPr>
          <w:rStyle w:val="FootnoteReference"/>
          <w:color w:val="000000" w:themeColor="text1"/>
          <w:sz w:val="24"/>
          <w:szCs w:val="24"/>
        </w:rPr>
        <w:footnoteReference w:id="6"/>
      </w:r>
      <w:r>
        <w:rPr>
          <w:color w:val="000000" w:themeColor="text1"/>
          <w:sz w:val="24"/>
          <w:szCs w:val="24"/>
        </w:rPr>
        <w:t xml:space="preserve">  </w:t>
      </w:r>
    </w:p>
    <w:p w14:paraId="02797CAC" w14:textId="77777777" w:rsidR="00A81491" w:rsidRPr="001265E0" w:rsidRDefault="00A81491" w:rsidP="00C77A18">
      <w:pPr>
        <w:spacing w:line="276" w:lineRule="auto"/>
        <w:rPr>
          <w:color w:val="000000" w:themeColor="text1"/>
          <w:sz w:val="24"/>
          <w:szCs w:val="24"/>
        </w:rPr>
      </w:pPr>
    </w:p>
    <w:p w14:paraId="4325CA38" w14:textId="36AAE537" w:rsidR="007A58C4" w:rsidRPr="001265E0" w:rsidRDefault="007A58C4" w:rsidP="00C77A18">
      <w:pPr>
        <w:spacing w:line="276" w:lineRule="auto"/>
        <w:rPr>
          <w:sz w:val="24"/>
          <w:szCs w:val="24"/>
        </w:rPr>
      </w:pPr>
      <w:r w:rsidRPr="001265E0">
        <w:rPr>
          <w:sz w:val="24"/>
          <w:szCs w:val="24"/>
        </w:rPr>
        <w:t xml:space="preserve">For the foregoing reasons, we urge the Commission </w:t>
      </w:r>
      <w:r w:rsidR="00852A1B">
        <w:rPr>
          <w:sz w:val="24"/>
          <w:szCs w:val="24"/>
        </w:rPr>
        <w:t xml:space="preserve">not to adopt a </w:t>
      </w:r>
      <w:r w:rsidR="007E33B6">
        <w:rPr>
          <w:sz w:val="24"/>
          <w:szCs w:val="24"/>
        </w:rPr>
        <w:t xml:space="preserve">35-times </w:t>
      </w:r>
      <w:r w:rsidR="00BB5159">
        <w:rPr>
          <w:sz w:val="24"/>
          <w:szCs w:val="24"/>
        </w:rPr>
        <w:t>increase in the 1</w:t>
      </w:r>
      <w:r w:rsidR="00852A1B">
        <w:rPr>
          <w:sz w:val="24"/>
          <w:szCs w:val="24"/>
        </w:rPr>
        <w:t xml:space="preserve">3F </w:t>
      </w:r>
      <w:r w:rsidR="00BB5159">
        <w:rPr>
          <w:sz w:val="24"/>
          <w:szCs w:val="24"/>
        </w:rPr>
        <w:t>threshold</w:t>
      </w:r>
      <w:r w:rsidR="008049B0">
        <w:rPr>
          <w:sz w:val="24"/>
          <w:szCs w:val="24"/>
        </w:rPr>
        <w:t xml:space="preserve"> and instead </w:t>
      </w:r>
      <w:r w:rsidR="009038AF">
        <w:rPr>
          <w:sz w:val="24"/>
          <w:szCs w:val="24"/>
        </w:rPr>
        <w:t xml:space="preserve">implement </w:t>
      </w:r>
      <w:r w:rsidR="008049B0">
        <w:rPr>
          <w:sz w:val="24"/>
          <w:szCs w:val="24"/>
        </w:rPr>
        <w:t>the reforms proposed by NIRI and other</w:t>
      </w:r>
      <w:r w:rsidR="00072D17">
        <w:rPr>
          <w:sz w:val="24"/>
          <w:szCs w:val="24"/>
        </w:rPr>
        <w:t xml:space="preserve"> organizations</w:t>
      </w:r>
      <w:r w:rsidR="008049B0">
        <w:rPr>
          <w:sz w:val="24"/>
          <w:szCs w:val="24"/>
        </w:rPr>
        <w:t xml:space="preserve"> to improve </w:t>
      </w:r>
      <w:r w:rsidR="00C91CD0">
        <w:rPr>
          <w:sz w:val="24"/>
          <w:szCs w:val="24"/>
        </w:rPr>
        <w:t xml:space="preserve">market </w:t>
      </w:r>
      <w:r w:rsidR="008049B0">
        <w:rPr>
          <w:sz w:val="24"/>
          <w:szCs w:val="24"/>
        </w:rPr>
        <w:t xml:space="preserve">transparency and </w:t>
      </w:r>
      <w:r w:rsidR="005857FD">
        <w:rPr>
          <w:sz w:val="24"/>
          <w:szCs w:val="24"/>
        </w:rPr>
        <w:t xml:space="preserve">foster more effective </w:t>
      </w:r>
      <w:r w:rsidR="00072D17">
        <w:rPr>
          <w:sz w:val="24"/>
          <w:szCs w:val="24"/>
        </w:rPr>
        <w:t xml:space="preserve">issuer-investor </w:t>
      </w:r>
      <w:r w:rsidR="008049B0">
        <w:rPr>
          <w:sz w:val="24"/>
          <w:szCs w:val="24"/>
        </w:rPr>
        <w:t xml:space="preserve">engagement.  </w:t>
      </w:r>
      <w:r w:rsidRPr="001265E0">
        <w:rPr>
          <w:sz w:val="24"/>
          <w:szCs w:val="24"/>
        </w:rPr>
        <w:t xml:space="preserve"> </w:t>
      </w:r>
    </w:p>
    <w:p w14:paraId="483F04EA" w14:textId="77777777" w:rsidR="00B00543" w:rsidRDefault="00B00543" w:rsidP="004356EF">
      <w:pPr>
        <w:spacing w:line="276" w:lineRule="auto"/>
        <w:rPr>
          <w:color w:val="000000" w:themeColor="text1"/>
          <w:sz w:val="24"/>
          <w:szCs w:val="24"/>
        </w:rPr>
      </w:pPr>
    </w:p>
    <w:p w14:paraId="6EF6A8D2" w14:textId="2E8222F9" w:rsidR="005D26D9" w:rsidRDefault="005D26D9" w:rsidP="004356EF">
      <w:pPr>
        <w:spacing w:line="276" w:lineRule="auto"/>
        <w:rPr>
          <w:sz w:val="24"/>
          <w:szCs w:val="24"/>
        </w:rPr>
      </w:pPr>
    </w:p>
    <w:p w14:paraId="51846832" w14:textId="7737A136" w:rsidR="001265E0" w:rsidRDefault="001265E0" w:rsidP="004356EF">
      <w:pPr>
        <w:spacing w:line="276" w:lineRule="auto"/>
        <w:rPr>
          <w:sz w:val="24"/>
          <w:szCs w:val="24"/>
        </w:rPr>
      </w:pPr>
      <w:r w:rsidRPr="001265E0">
        <w:rPr>
          <w:sz w:val="24"/>
          <w:szCs w:val="24"/>
          <w:highlight w:val="yellow"/>
        </w:rPr>
        <w:t xml:space="preserve">[Insert names of </w:t>
      </w:r>
      <w:r w:rsidR="009B747E">
        <w:rPr>
          <w:sz w:val="24"/>
          <w:szCs w:val="24"/>
          <w:highlight w:val="yellow"/>
        </w:rPr>
        <w:t xml:space="preserve">public </w:t>
      </w:r>
      <w:r w:rsidRPr="001265E0">
        <w:rPr>
          <w:sz w:val="24"/>
          <w:szCs w:val="24"/>
          <w:highlight w:val="yellow"/>
        </w:rPr>
        <w:t>companies</w:t>
      </w:r>
      <w:r w:rsidR="009B747E">
        <w:rPr>
          <w:sz w:val="24"/>
          <w:szCs w:val="24"/>
          <w:highlight w:val="yellow"/>
        </w:rPr>
        <w:t xml:space="preserve"> in alphabetical order</w:t>
      </w:r>
      <w:r w:rsidRPr="001265E0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 </w:t>
      </w:r>
    </w:p>
    <w:p w14:paraId="3F9BA47B" w14:textId="280B5D20" w:rsidR="001265E0" w:rsidRDefault="002406B6" w:rsidP="004356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570058F5" w14:textId="4361A205" w:rsidR="004057B6" w:rsidRDefault="004057B6" w:rsidP="004356EF">
      <w:pPr>
        <w:spacing w:line="276" w:lineRule="auto"/>
        <w:rPr>
          <w:sz w:val="24"/>
          <w:szCs w:val="24"/>
        </w:rPr>
      </w:pPr>
    </w:p>
    <w:p w14:paraId="13916CB1" w14:textId="4D0371BB" w:rsidR="004057B6" w:rsidRDefault="004057B6" w:rsidP="004356EF">
      <w:pPr>
        <w:spacing w:line="276" w:lineRule="auto"/>
        <w:rPr>
          <w:sz w:val="24"/>
          <w:szCs w:val="24"/>
        </w:rPr>
      </w:pPr>
    </w:p>
    <w:p w14:paraId="182EEBF3" w14:textId="77777777" w:rsidR="004057B6" w:rsidRDefault="004057B6" w:rsidP="004356EF">
      <w:pPr>
        <w:spacing w:line="276" w:lineRule="auto"/>
        <w:rPr>
          <w:sz w:val="24"/>
          <w:szCs w:val="24"/>
        </w:rPr>
      </w:pPr>
    </w:p>
    <w:p w14:paraId="60AC285D" w14:textId="3EA65620" w:rsidR="004057B6" w:rsidRDefault="004057B6" w:rsidP="004356EF">
      <w:pPr>
        <w:spacing w:line="276" w:lineRule="auto"/>
        <w:rPr>
          <w:sz w:val="24"/>
          <w:szCs w:val="24"/>
        </w:rPr>
      </w:pPr>
      <w:r w:rsidRPr="004057B6">
        <w:rPr>
          <w:sz w:val="24"/>
          <w:szCs w:val="24"/>
          <w:highlight w:val="yellow"/>
        </w:rPr>
        <w:t>[Insert names of counseling firms</w:t>
      </w:r>
      <w:r w:rsidR="009B747E">
        <w:rPr>
          <w:sz w:val="24"/>
          <w:szCs w:val="24"/>
          <w:highlight w:val="yellow"/>
        </w:rPr>
        <w:t xml:space="preserve"> in alphabetical order</w:t>
      </w:r>
      <w:r w:rsidRPr="004057B6">
        <w:rPr>
          <w:sz w:val="24"/>
          <w:szCs w:val="24"/>
          <w:highlight w:val="yellow"/>
        </w:rPr>
        <w:t>]</w:t>
      </w:r>
    </w:p>
    <w:sectPr w:rsidR="004057B6" w:rsidSect="00066AB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5BCB8" w14:textId="77777777" w:rsidR="00BB5C19" w:rsidRDefault="00BB5C19" w:rsidP="000C3F6D">
      <w:r>
        <w:separator/>
      </w:r>
    </w:p>
  </w:endnote>
  <w:endnote w:type="continuationSeparator" w:id="0">
    <w:p w14:paraId="238E9CAC" w14:textId="77777777" w:rsidR="00BB5C19" w:rsidRDefault="00BB5C19" w:rsidP="000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732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68C42" w14:textId="5AEB1E1A" w:rsidR="00C77A18" w:rsidRDefault="00C7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78D63" w14:textId="77777777" w:rsidR="0034687F" w:rsidRDefault="0034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D3D8" w14:textId="77777777" w:rsidR="00BB5C19" w:rsidRDefault="00BB5C19" w:rsidP="000C3F6D">
      <w:r>
        <w:separator/>
      </w:r>
    </w:p>
  </w:footnote>
  <w:footnote w:type="continuationSeparator" w:id="0">
    <w:p w14:paraId="76BA8C38" w14:textId="77777777" w:rsidR="00BB5C19" w:rsidRDefault="00BB5C19" w:rsidP="000C3F6D">
      <w:r>
        <w:continuationSeparator/>
      </w:r>
    </w:p>
  </w:footnote>
  <w:footnote w:id="1">
    <w:p w14:paraId="14A3990A" w14:textId="04FF219F" w:rsidR="00AE3949" w:rsidRDefault="00AE3949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12130F">
        <w:t xml:space="preserve">NYSE Group, NIRI, </w:t>
      </w:r>
      <w:r w:rsidR="00ED0A29">
        <w:t xml:space="preserve">and </w:t>
      </w:r>
      <w:r w:rsidR="0012130F">
        <w:t xml:space="preserve">Society </w:t>
      </w:r>
      <w:r w:rsidR="00852A1B">
        <w:t>for Corporate Governance</w:t>
      </w:r>
      <w:r w:rsidR="0012130F">
        <w:t>,</w:t>
      </w:r>
      <w:r w:rsidR="00852A1B">
        <w:t xml:space="preserve"> </w:t>
      </w:r>
      <w:r w:rsidRPr="002C1085">
        <w:t xml:space="preserve">Request for </w:t>
      </w:r>
      <w:r>
        <w:t>R</w:t>
      </w:r>
      <w:r w:rsidRPr="002C1085">
        <w:t xml:space="preserve">ulemaking </w:t>
      </w:r>
      <w:r>
        <w:t>C</w:t>
      </w:r>
      <w:r w:rsidRPr="002C1085">
        <w:t xml:space="preserve">oncerning </w:t>
      </w:r>
      <w:r>
        <w:t>A</w:t>
      </w:r>
      <w:r w:rsidRPr="002C1085">
        <w:t xml:space="preserve">mendment of </w:t>
      </w:r>
      <w:r>
        <w:t>B</w:t>
      </w:r>
      <w:r w:rsidRPr="002C1085">
        <w:t xml:space="preserve">eneficial </w:t>
      </w:r>
      <w:r>
        <w:t>O</w:t>
      </w:r>
      <w:r w:rsidRPr="002C1085">
        <w:t xml:space="preserve">wnership </w:t>
      </w:r>
      <w:r>
        <w:t>R</w:t>
      </w:r>
      <w:r w:rsidRPr="002C1085">
        <w:t xml:space="preserve">eporting </w:t>
      </w:r>
      <w:r>
        <w:t>R</w:t>
      </w:r>
      <w:r w:rsidRPr="002C1085">
        <w:t xml:space="preserve">ules </w:t>
      </w:r>
      <w:r>
        <w:t>U</w:t>
      </w:r>
      <w:r w:rsidRPr="002C1085">
        <w:t xml:space="preserve">nder Section 13(f) of the Securities Exchange Act of 1934 in </w:t>
      </w:r>
      <w:r>
        <w:t>O</w:t>
      </w:r>
      <w:r w:rsidRPr="002C1085">
        <w:t xml:space="preserve">rder to </w:t>
      </w:r>
      <w:r>
        <w:t>S</w:t>
      </w:r>
      <w:r w:rsidRPr="002C1085">
        <w:t xml:space="preserve">horten the </w:t>
      </w:r>
      <w:r>
        <w:t>R</w:t>
      </w:r>
      <w:r w:rsidRPr="002C1085">
        <w:t xml:space="preserve">eporting </w:t>
      </w:r>
      <w:r>
        <w:t>D</w:t>
      </w:r>
      <w:r w:rsidRPr="002C1085">
        <w:t xml:space="preserve">eadline under </w:t>
      </w:r>
      <w:r>
        <w:t>P</w:t>
      </w:r>
      <w:r w:rsidRPr="002C1085">
        <w:t>aragraph (a)(1) of Rule 13f-1</w:t>
      </w:r>
      <w:r>
        <w:t xml:space="preserve">, Petition No. 4-659, February 4, 2013, available at: </w:t>
      </w:r>
      <w:hyperlink r:id="rId1" w:history="1">
        <w:r>
          <w:rPr>
            <w:rStyle w:val="Hyperlink"/>
          </w:rPr>
          <w:t>https://www.sec.gov/rules/petitions/2013/petn4-659.pdf</w:t>
        </w:r>
      </w:hyperlink>
      <w:r>
        <w:t xml:space="preserve">; </w:t>
      </w:r>
      <w:r w:rsidR="00BD4005">
        <w:t xml:space="preserve">NYSE Group and NIRI, Petition for Rulemaking Pursuant to Sections 10 and 13(f) of the Securities Exchange Act of 1934, Petition No. 4-689, October 7, 2015, available at: </w:t>
      </w:r>
      <w:hyperlink r:id="rId2" w:history="1">
        <w:r w:rsidR="00BD4005">
          <w:rPr>
            <w:rStyle w:val="Hyperlink"/>
          </w:rPr>
          <w:t>https://www.sec.gov/rules/petitions/2015/petn4-689.pdf</w:t>
        </w:r>
      </w:hyperlink>
      <w:r w:rsidR="00BD4005">
        <w:t>.</w:t>
      </w:r>
      <w:r w:rsidR="0012130F">
        <w:t xml:space="preserve">; and Nasdaq, Petition for Rulemaking to Require Disclosure of Short Positions in Parity with Required Disclosure of Long Positions, Petition No. 4-691, December 7, 2015, available at </w:t>
      </w:r>
      <w:hyperlink r:id="rId3" w:history="1">
        <w:r w:rsidR="0012130F">
          <w:rPr>
            <w:rStyle w:val="Hyperlink"/>
          </w:rPr>
          <w:t>https://www.sec.gov/rules/petitions/2015/petn4-691.pdf</w:t>
        </w:r>
      </w:hyperlink>
      <w:r w:rsidR="0012130F">
        <w:t>.</w:t>
      </w:r>
      <w:r w:rsidR="0012130F">
        <w:br/>
      </w:r>
      <w:r>
        <w:t xml:space="preserve">    </w:t>
      </w:r>
    </w:p>
  </w:footnote>
  <w:footnote w:id="2">
    <w:p w14:paraId="51D27501" w14:textId="78FE5FB9" w:rsidR="0012130F" w:rsidRDefault="0012130F">
      <w:pPr>
        <w:pStyle w:val="FootnoteText"/>
      </w:pPr>
      <w:r>
        <w:rPr>
          <w:rStyle w:val="FootnoteReference"/>
        </w:rPr>
        <w:footnoteRef/>
      </w:r>
      <w:r>
        <w:t xml:space="preserve"> Congress has expressed a clear intent for 13F filers to provide more disclosure</w:t>
      </w:r>
      <w:r w:rsidR="002C0DC2">
        <w:t>.</w:t>
      </w:r>
      <w:r w:rsidR="005857FD">
        <w:t xml:space="preserve"> </w:t>
      </w:r>
      <w:r>
        <w:t xml:space="preserve">Section 929X of the Dodd-Frank Wall Street Reform and Consumer Protection Act </w:t>
      </w:r>
      <w:r w:rsidR="005857FD">
        <w:t xml:space="preserve">of 2010 </w:t>
      </w:r>
      <w:r w:rsidR="005E2760">
        <w:t>called for</w:t>
      </w:r>
      <w:r w:rsidR="005C6EC3">
        <w:t xml:space="preserve"> </w:t>
      </w:r>
      <w:r w:rsidR="005E2760">
        <w:t xml:space="preserve">monthly disclosure of </w:t>
      </w:r>
      <w:r>
        <w:t>short</w:t>
      </w:r>
      <w:r w:rsidR="00C91CD0">
        <w:t xml:space="preserve"> </w:t>
      </w:r>
      <w:r>
        <w:t>position</w:t>
      </w:r>
      <w:r w:rsidR="005E2760">
        <w:t>s</w:t>
      </w:r>
      <w:r>
        <w:t xml:space="preserve">, while Section 951 </w:t>
      </w:r>
      <w:r w:rsidR="005C6EC3">
        <w:t xml:space="preserve">mandated </w:t>
      </w:r>
      <w:r w:rsidR="001265E0">
        <w:t>annual</w:t>
      </w:r>
      <w:r w:rsidR="005C6EC3">
        <w:t xml:space="preserve"> </w:t>
      </w:r>
      <w:r>
        <w:t>disclos</w:t>
      </w:r>
      <w:r w:rsidR="005C6EC3">
        <w:t xml:space="preserve">ure of </w:t>
      </w:r>
      <w:r w:rsidR="002406B6">
        <w:t xml:space="preserve">Say on Pay </w:t>
      </w:r>
      <w:r>
        <w:t xml:space="preserve">votes.   </w:t>
      </w:r>
      <w:r w:rsidR="002427CD">
        <w:br/>
      </w:r>
    </w:p>
  </w:footnote>
  <w:footnote w:id="3">
    <w:p w14:paraId="73B7AC69" w14:textId="4EF836A5" w:rsidR="00356A31" w:rsidRDefault="00356A31" w:rsidP="00356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33B6">
        <w:t>Unfortunately</w:t>
      </w:r>
      <w:r>
        <w:t xml:space="preserve">, </w:t>
      </w:r>
      <w:r w:rsidR="002427CD">
        <w:t>companies</w:t>
      </w:r>
      <w:r>
        <w:t xml:space="preserve"> cannot simply accept investors’ representations at face value. In a 2016 survey of NIRI members, 45 percent said they definitely had experiences with investors who misrepresented their positions to obtain meetings with C-suite executives, while another 31 percent said they suspected that had happened.</w:t>
      </w:r>
    </w:p>
    <w:p w14:paraId="7760BAF9" w14:textId="685E1A86" w:rsidR="00356A31" w:rsidRDefault="00356A31">
      <w:pPr>
        <w:pStyle w:val="FootnoteText"/>
      </w:pPr>
    </w:p>
  </w:footnote>
  <w:footnote w:id="4">
    <w:p w14:paraId="463202E4" w14:textId="03CF2081" w:rsidR="00043D90" w:rsidRDefault="00043D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098">
        <w:t xml:space="preserve">See, e.g., Bloomberg News (Quint), “Tepper, Einhorn, Soros Stock Holdings Would Go Dark in SEC Plan,” July 15, 2020, available at </w:t>
      </w:r>
      <w:hyperlink r:id="rId4" w:history="1">
        <w:r w:rsidRPr="00754098">
          <w:rPr>
            <w:rStyle w:val="Hyperlink"/>
          </w:rPr>
          <w:t>https://www.bloombergquint.com/markets/tepper-einhorn-soros-stock-holdings-would-go-dark-in-sec-plan</w:t>
        </w:r>
      </w:hyperlink>
      <w:r w:rsidRPr="00754098">
        <w:t>.</w:t>
      </w:r>
      <w:r>
        <w:t xml:space="preserve"> </w:t>
      </w:r>
    </w:p>
    <w:p w14:paraId="2909817B" w14:textId="77777777" w:rsidR="00043D90" w:rsidRDefault="00043D90">
      <w:pPr>
        <w:pStyle w:val="FootnoteText"/>
      </w:pPr>
    </w:p>
  </w:footnote>
  <w:footnote w:id="5">
    <w:p w14:paraId="71A5A5DE" w14:textId="5986B12F" w:rsidR="005E2760" w:rsidRDefault="000676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175A">
        <w:t xml:space="preserve">The potential reduction in 13F transparency is especially concerning, as </w:t>
      </w:r>
      <w:r w:rsidR="002F175A">
        <w:rPr>
          <w:color w:val="000000" w:themeColor="text1"/>
        </w:rPr>
        <w:t>m</w:t>
      </w:r>
      <w:r w:rsidR="005E2760" w:rsidRPr="005E2760">
        <w:rPr>
          <w:color w:val="000000" w:themeColor="text1"/>
        </w:rPr>
        <w:t>arket observers expect a</w:t>
      </w:r>
      <w:r w:rsidR="00852A1B">
        <w:rPr>
          <w:color w:val="000000" w:themeColor="text1"/>
        </w:rPr>
        <w:t xml:space="preserve"> post-pandemic </w:t>
      </w:r>
      <w:r w:rsidR="005E2760" w:rsidRPr="005E2760">
        <w:rPr>
          <w:color w:val="000000" w:themeColor="text1"/>
        </w:rPr>
        <w:t xml:space="preserve">surge in hedge fund activism, similar to what happened after the financial crisis of 2008-09. </w:t>
      </w:r>
      <w:r>
        <w:t xml:space="preserve">See </w:t>
      </w:r>
      <w:r w:rsidRPr="000676D6">
        <w:rPr>
          <w:i/>
          <w:iCs/>
        </w:rPr>
        <w:t>Barron's</w:t>
      </w:r>
      <w:r w:rsidRPr="000676D6">
        <w:t>, "Hostile Bidders Are Ready to Pounce on Struggling Companies. They’re Waiting—for Now," March 27, 2020</w:t>
      </w:r>
      <w:r w:rsidR="00CF1CAB">
        <w:t xml:space="preserve">, available at: </w:t>
      </w:r>
      <w:hyperlink r:id="rId5" w:history="1">
        <w:r w:rsidR="00CF1CAB">
          <w:rPr>
            <w:rStyle w:val="Hyperlink"/>
          </w:rPr>
          <w:t>https://www.barrons.com/articles/hostile-bidders-are-ready-to-pounce-on-struggling-companies-theyre-waitingfor-now-51585326808</w:t>
        </w:r>
      </w:hyperlink>
      <w:r w:rsidR="00852A1B">
        <w:t>.</w:t>
      </w:r>
    </w:p>
    <w:p w14:paraId="00A64D4C" w14:textId="77777777" w:rsidR="00852A1B" w:rsidRPr="00852A1B" w:rsidRDefault="00852A1B">
      <w:pPr>
        <w:pStyle w:val="FootnoteText"/>
        <w:rPr>
          <w:color w:val="0000FF"/>
          <w:u w:val="single"/>
        </w:rPr>
      </w:pPr>
    </w:p>
  </w:footnote>
  <w:footnote w:id="6">
    <w:p w14:paraId="55B69B9E" w14:textId="61956698" w:rsidR="00765E90" w:rsidRDefault="00765E90">
      <w:pPr>
        <w:pStyle w:val="FootnoteText"/>
      </w:pPr>
      <w:r w:rsidRPr="005857FD">
        <w:rPr>
          <w:rStyle w:val="FootnoteReference"/>
        </w:rPr>
        <w:footnoteRef/>
      </w:r>
      <w:r w:rsidRPr="005857FD">
        <w:t xml:space="preserve"> </w:t>
      </w:r>
      <w:r w:rsidR="00392C0A">
        <w:t>R</w:t>
      </w:r>
      <w:r w:rsidR="00871053" w:rsidRPr="00754098">
        <w:t>etail shareholders</w:t>
      </w:r>
      <w:r w:rsidR="005C6EC3">
        <w:t xml:space="preserve"> ha</w:t>
      </w:r>
      <w:r w:rsidR="00392C0A">
        <w:t xml:space="preserve">ve submitted hundreds of </w:t>
      </w:r>
      <w:r w:rsidR="005C6EC3">
        <w:t>comments that oppose the SEC’s proposal</w:t>
      </w:r>
      <w:r w:rsidR="00871053" w:rsidRPr="00754098">
        <w:t xml:space="preserve">. </w:t>
      </w:r>
      <w:r w:rsidR="00695ED1" w:rsidRPr="00754098">
        <w:t xml:space="preserve">Many investors review </w:t>
      </w:r>
      <w:r w:rsidR="00871053" w:rsidRPr="00754098">
        <w:t>13F data</w:t>
      </w:r>
      <w:r w:rsidR="005C6EC3">
        <w:t xml:space="preserve"> </w:t>
      </w:r>
      <w:r w:rsidR="00695ED1" w:rsidRPr="00754098">
        <w:t xml:space="preserve">before making trading decisions, </w:t>
      </w:r>
      <w:r w:rsidR="00022C1D">
        <w:t xml:space="preserve">just as </w:t>
      </w:r>
      <w:r w:rsidR="00695ED1" w:rsidRPr="00754098">
        <w:t xml:space="preserve">they </w:t>
      </w:r>
      <w:r w:rsidR="002F175A">
        <w:t xml:space="preserve">monitor </w:t>
      </w:r>
      <w:r w:rsidR="00871053" w:rsidRPr="00754098">
        <w:t xml:space="preserve">Form 4 </w:t>
      </w:r>
      <w:r w:rsidR="005C6EC3">
        <w:t xml:space="preserve">data on </w:t>
      </w:r>
      <w:r w:rsidR="005857FD" w:rsidRPr="00754098">
        <w:t>stock</w:t>
      </w:r>
      <w:r w:rsidR="005C6EC3">
        <w:t xml:space="preserve"> trades by co</w:t>
      </w:r>
      <w:r w:rsidR="00022C1D">
        <w:t xml:space="preserve">rporate </w:t>
      </w:r>
      <w:r w:rsidR="005C6EC3">
        <w:t>insiders</w:t>
      </w:r>
      <w:r w:rsidR="00695ED1" w:rsidRPr="00754098">
        <w:t>.</w:t>
      </w:r>
      <w:r w:rsidR="00D61A3E" w:rsidRPr="00754098">
        <w:t xml:space="preserve"> </w:t>
      </w:r>
      <w:r w:rsidR="00022C1D">
        <w:t xml:space="preserve">When the Commission </w:t>
      </w:r>
      <w:r w:rsidR="00D61A3E" w:rsidRPr="00754098">
        <w:t>reduced</w:t>
      </w:r>
      <w:r w:rsidR="00022C1D">
        <w:t xml:space="preserve"> </w:t>
      </w:r>
      <w:r w:rsidR="00D61A3E" w:rsidRPr="00754098">
        <w:t xml:space="preserve">the Form 4 reporting period to </w:t>
      </w:r>
      <w:r w:rsidR="00695ED1" w:rsidRPr="00754098">
        <w:t>two business days</w:t>
      </w:r>
      <w:r w:rsidR="00D61A3E" w:rsidRPr="00754098">
        <w:t xml:space="preserve"> in 2002</w:t>
      </w:r>
      <w:r w:rsidR="00022C1D">
        <w:t>, the SEC touted the benefits of greater transparency:</w:t>
      </w:r>
      <w:r w:rsidR="00D61A3E" w:rsidRPr="00754098">
        <w:t xml:space="preserve"> “</w:t>
      </w:r>
      <w:r w:rsidR="00022C1D">
        <w:rPr>
          <w:shd w:val="clear" w:color="auto" w:fill="FFFFFF"/>
        </w:rPr>
        <w:t>M</w:t>
      </w:r>
      <w:r w:rsidR="00D61A3E" w:rsidRPr="00754098">
        <w:rPr>
          <w:shd w:val="clear" w:color="auto" w:fill="FFFFFF"/>
        </w:rPr>
        <w:t>aking this information available to all investors on a more timely basis should increase market transparency, which will likely enhance market efficiency and liquidity.”</w:t>
      </w:r>
      <w:r w:rsidR="005857FD" w:rsidRPr="00754098">
        <w:rPr>
          <w:shd w:val="clear" w:color="auto" w:fill="FFFFFF"/>
        </w:rPr>
        <w:t xml:space="preserve"> Ownership Reports and Trading by Officers, Directors and Principal Security Holders, </w:t>
      </w:r>
      <w:r w:rsidR="00355A2E" w:rsidRPr="00754098">
        <w:rPr>
          <w:shd w:val="clear" w:color="auto" w:fill="FFFFFF"/>
        </w:rPr>
        <w:t>Release Nos. 34-46421; 35-27563;</w:t>
      </w:r>
      <w:r w:rsidR="00355A2E">
        <w:rPr>
          <w:shd w:val="clear" w:color="auto" w:fill="FFFFFF"/>
        </w:rPr>
        <w:t xml:space="preserve"> </w:t>
      </w:r>
      <w:r w:rsidR="005857FD" w:rsidRPr="00754098">
        <w:rPr>
          <w:shd w:val="clear" w:color="auto" w:fill="FFFFFF"/>
        </w:rPr>
        <w:t>File No. S7-31-02, August 29, 2002.</w:t>
      </w:r>
      <w:r w:rsidR="00D61A3E" w:rsidRPr="005857FD">
        <w:rPr>
          <w:rFonts w:ascii="Verdana" w:hAnsi="Verdana"/>
          <w:shd w:val="clear" w:color="auto" w:fill="FFFFFF"/>
        </w:rPr>
        <w:t xml:space="preserve"> </w:t>
      </w:r>
      <w:r w:rsidR="00D61A3E" w:rsidRPr="005857FD">
        <w:t xml:space="preserve"> </w:t>
      </w:r>
      <w:r w:rsidR="00695ED1" w:rsidRPr="005857FD">
        <w:t xml:space="preserve">  </w:t>
      </w:r>
      <w:r w:rsidR="00871053" w:rsidRPr="005857FD">
        <w:t xml:space="preserve"> </w:t>
      </w:r>
      <w:r w:rsidRPr="005857F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BD09" w14:textId="710DBC10" w:rsidR="0034687F" w:rsidRDefault="0034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39D"/>
    <w:multiLevelType w:val="hybridMultilevel"/>
    <w:tmpl w:val="56961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37512"/>
    <w:multiLevelType w:val="hybridMultilevel"/>
    <w:tmpl w:val="2CB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837CC"/>
    <w:multiLevelType w:val="hybridMultilevel"/>
    <w:tmpl w:val="580C4AC2"/>
    <w:lvl w:ilvl="0" w:tplc="298056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0C4649"/>
    <w:multiLevelType w:val="hybridMultilevel"/>
    <w:tmpl w:val="23A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270"/>
    <w:multiLevelType w:val="hybridMultilevel"/>
    <w:tmpl w:val="1DFA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81438B"/>
    <w:multiLevelType w:val="hybridMultilevel"/>
    <w:tmpl w:val="2E50F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C6D67"/>
    <w:multiLevelType w:val="hybridMultilevel"/>
    <w:tmpl w:val="BF3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027"/>
    <w:multiLevelType w:val="hybridMultilevel"/>
    <w:tmpl w:val="57FA6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AD2AE7"/>
    <w:multiLevelType w:val="hybridMultilevel"/>
    <w:tmpl w:val="3A4024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F141B34"/>
    <w:multiLevelType w:val="hybridMultilevel"/>
    <w:tmpl w:val="21562C2C"/>
    <w:lvl w:ilvl="0" w:tplc="8E5613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1AF184B"/>
    <w:multiLevelType w:val="hybridMultilevel"/>
    <w:tmpl w:val="3D543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3F37E96"/>
    <w:multiLevelType w:val="hybridMultilevel"/>
    <w:tmpl w:val="FB0C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B48F2"/>
    <w:multiLevelType w:val="hybridMultilevel"/>
    <w:tmpl w:val="5B92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3A1442"/>
    <w:multiLevelType w:val="hybridMultilevel"/>
    <w:tmpl w:val="D422C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279EB"/>
    <w:multiLevelType w:val="hybridMultilevel"/>
    <w:tmpl w:val="172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68DE"/>
    <w:multiLevelType w:val="hybridMultilevel"/>
    <w:tmpl w:val="BD26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3665"/>
    <w:multiLevelType w:val="hybridMultilevel"/>
    <w:tmpl w:val="FC8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6C8E"/>
    <w:multiLevelType w:val="hybridMultilevel"/>
    <w:tmpl w:val="8544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5658"/>
    <w:multiLevelType w:val="hybridMultilevel"/>
    <w:tmpl w:val="4CF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4630AA"/>
    <w:multiLevelType w:val="hybridMultilevel"/>
    <w:tmpl w:val="5D5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70D2"/>
    <w:multiLevelType w:val="hybridMultilevel"/>
    <w:tmpl w:val="661E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815032"/>
    <w:multiLevelType w:val="hybridMultilevel"/>
    <w:tmpl w:val="9AAE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AE7C89"/>
    <w:multiLevelType w:val="hybridMultilevel"/>
    <w:tmpl w:val="5CF4623A"/>
    <w:lvl w:ilvl="0" w:tplc="95FC7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0A06AFE"/>
    <w:multiLevelType w:val="hybridMultilevel"/>
    <w:tmpl w:val="C70818D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437328F"/>
    <w:multiLevelType w:val="hybridMultilevel"/>
    <w:tmpl w:val="89E8E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1D04D4"/>
    <w:multiLevelType w:val="hybridMultilevel"/>
    <w:tmpl w:val="60AA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818D9"/>
    <w:multiLevelType w:val="hybridMultilevel"/>
    <w:tmpl w:val="8298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20"/>
  </w:num>
  <w:num w:numId="9">
    <w:abstractNumId w:val="5"/>
  </w:num>
  <w:num w:numId="10">
    <w:abstractNumId w:val="10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24"/>
  </w:num>
  <w:num w:numId="16">
    <w:abstractNumId w:val="8"/>
  </w:num>
  <w:num w:numId="17">
    <w:abstractNumId w:val="6"/>
  </w:num>
  <w:num w:numId="18">
    <w:abstractNumId w:val="3"/>
  </w:num>
  <w:num w:numId="19">
    <w:abstractNumId w:val="19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5"/>
  </w:num>
  <w:num w:numId="25">
    <w:abstractNumId w:val="9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9"/>
    <w:rsid w:val="000079EB"/>
    <w:rsid w:val="00007C0D"/>
    <w:rsid w:val="00014EBD"/>
    <w:rsid w:val="00017175"/>
    <w:rsid w:val="00021CD4"/>
    <w:rsid w:val="00022C1D"/>
    <w:rsid w:val="00022E5A"/>
    <w:rsid w:val="000241E7"/>
    <w:rsid w:val="00024A0A"/>
    <w:rsid w:val="0003227F"/>
    <w:rsid w:val="000329AB"/>
    <w:rsid w:val="000377AB"/>
    <w:rsid w:val="00037C21"/>
    <w:rsid w:val="00040686"/>
    <w:rsid w:val="00040AE7"/>
    <w:rsid w:val="00040CFF"/>
    <w:rsid w:val="00042764"/>
    <w:rsid w:val="000428FD"/>
    <w:rsid w:val="00043D90"/>
    <w:rsid w:val="00047BDA"/>
    <w:rsid w:val="00052135"/>
    <w:rsid w:val="00064322"/>
    <w:rsid w:val="000649CB"/>
    <w:rsid w:val="00065214"/>
    <w:rsid w:val="0006581F"/>
    <w:rsid w:val="00066AB9"/>
    <w:rsid w:val="000676D6"/>
    <w:rsid w:val="00071BEA"/>
    <w:rsid w:val="00072D17"/>
    <w:rsid w:val="000821E8"/>
    <w:rsid w:val="000906B4"/>
    <w:rsid w:val="00091DB5"/>
    <w:rsid w:val="00095CC1"/>
    <w:rsid w:val="0009777F"/>
    <w:rsid w:val="000A47A4"/>
    <w:rsid w:val="000A7625"/>
    <w:rsid w:val="000B1D2D"/>
    <w:rsid w:val="000B1ED4"/>
    <w:rsid w:val="000B27B3"/>
    <w:rsid w:val="000B500D"/>
    <w:rsid w:val="000C0C2E"/>
    <w:rsid w:val="000C3F6D"/>
    <w:rsid w:val="000C5E2D"/>
    <w:rsid w:val="000C6A47"/>
    <w:rsid w:val="000C6DF5"/>
    <w:rsid w:val="000C7869"/>
    <w:rsid w:val="000D18AB"/>
    <w:rsid w:val="000D1D5B"/>
    <w:rsid w:val="000D5874"/>
    <w:rsid w:val="000D7DE8"/>
    <w:rsid w:val="000E0709"/>
    <w:rsid w:val="000E4F90"/>
    <w:rsid w:val="000E6502"/>
    <w:rsid w:val="000F5A34"/>
    <w:rsid w:val="000F6750"/>
    <w:rsid w:val="000F76D3"/>
    <w:rsid w:val="000F7795"/>
    <w:rsid w:val="00104F04"/>
    <w:rsid w:val="00105C41"/>
    <w:rsid w:val="00107760"/>
    <w:rsid w:val="00113CA8"/>
    <w:rsid w:val="00115D13"/>
    <w:rsid w:val="00117527"/>
    <w:rsid w:val="00120A2F"/>
    <w:rsid w:val="00120F64"/>
    <w:rsid w:val="00121212"/>
    <w:rsid w:val="0012130F"/>
    <w:rsid w:val="00125AEB"/>
    <w:rsid w:val="001265E0"/>
    <w:rsid w:val="001317B6"/>
    <w:rsid w:val="00134FC1"/>
    <w:rsid w:val="0013658C"/>
    <w:rsid w:val="00136E36"/>
    <w:rsid w:val="0014351D"/>
    <w:rsid w:val="00146261"/>
    <w:rsid w:val="001533E2"/>
    <w:rsid w:val="00154F21"/>
    <w:rsid w:val="001610E0"/>
    <w:rsid w:val="00163EEE"/>
    <w:rsid w:val="00165470"/>
    <w:rsid w:val="0016719C"/>
    <w:rsid w:val="001674A6"/>
    <w:rsid w:val="00167EBE"/>
    <w:rsid w:val="00171374"/>
    <w:rsid w:val="001756CA"/>
    <w:rsid w:val="0018270F"/>
    <w:rsid w:val="0018310D"/>
    <w:rsid w:val="00186688"/>
    <w:rsid w:val="00190F98"/>
    <w:rsid w:val="00191D93"/>
    <w:rsid w:val="00193687"/>
    <w:rsid w:val="0019686E"/>
    <w:rsid w:val="001A0C5C"/>
    <w:rsid w:val="001A0D2B"/>
    <w:rsid w:val="001A219B"/>
    <w:rsid w:val="001A2D11"/>
    <w:rsid w:val="001B3F4B"/>
    <w:rsid w:val="001B4BA8"/>
    <w:rsid w:val="001B4BD5"/>
    <w:rsid w:val="001B4CF3"/>
    <w:rsid w:val="001C1492"/>
    <w:rsid w:val="001D02F6"/>
    <w:rsid w:val="001D03AA"/>
    <w:rsid w:val="001D32BA"/>
    <w:rsid w:val="001D548F"/>
    <w:rsid w:val="001D6FED"/>
    <w:rsid w:val="001D781A"/>
    <w:rsid w:val="001E1800"/>
    <w:rsid w:val="001F1698"/>
    <w:rsid w:val="001F3B9C"/>
    <w:rsid w:val="00210715"/>
    <w:rsid w:val="0021082A"/>
    <w:rsid w:val="00212A9B"/>
    <w:rsid w:val="0021337F"/>
    <w:rsid w:val="0021733A"/>
    <w:rsid w:val="0022050B"/>
    <w:rsid w:val="00220D76"/>
    <w:rsid w:val="0022116D"/>
    <w:rsid w:val="00225E0F"/>
    <w:rsid w:val="00226097"/>
    <w:rsid w:val="002272E0"/>
    <w:rsid w:val="00233137"/>
    <w:rsid w:val="00236266"/>
    <w:rsid w:val="002406B6"/>
    <w:rsid w:val="002415E1"/>
    <w:rsid w:val="002427CD"/>
    <w:rsid w:val="00243FD6"/>
    <w:rsid w:val="00246932"/>
    <w:rsid w:val="00254255"/>
    <w:rsid w:val="00255F51"/>
    <w:rsid w:val="00256A98"/>
    <w:rsid w:val="00272292"/>
    <w:rsid w:val="002725A1"/>
    <w:rsid w:val="00274512"/>
    <w:rsid w:val="00275172"/>
    <w:rsid w:val="00284AEF"/>
    <w:rsid w:val="00291C0A"/>
    <w:rsid w:val="00292BF3"/>
    <w:rsid w:val="002942C6"/>
    <w:rsid w:val="002A0422"/>
    <w:rsid w:val="002A1B24"/>
    <w:rsid w:val="002A2076"/>
    <w:rsid w:val="002A36CE"/>
    <w:rsid w:val="002A3E71"/>
    <w:rsid w:val="002A4289"/>
    <w:rsid w:val="002A6BD8"/>
    <w:rsid w:val="002B1985"/>
    <w:rsid w:val="002B23C5"/>
    <w:rsid w:val="002B6BA2"/>
    <w:rsid w:val="002B7BE9"/>
    <w:rsid w:val="002C0DC2"/>
    <w:rsid w:val="002C1085"/>
    <w:rsid w:val="002C2EA0"/>
    <w:rsid w:val="002C472A"/>
    <w:rsid w:val="002D4BCA"/>
    <w:rsid w:val="002D567C"/>
    <w:rsid w:val="002D6854"/>
    <w:rsid w:val="002D68D5"/>
    <w:rsid w:val="002E4C25"/>
    <w:rsid w:val="002F175A"/>
    <w:rsid w:val="00302627"/>
    <w:rsid w:val="00304DBB"/>
    <w:rsid w:val="0030697B"/>
    <w:rsid w:val="003109A4"/>
    <w:rsid w:val="003127B8"/>
    <w:rsid w:val="00322029"/>
    <w:rsid w:val="00324F81"/>
    <w:rsid w:val="00326D4B"/>
    <w:rsid w:val="00326D8B"/>
    <w:rsid w:val="00332418"/>
    <w:rsid w:val="00332B88"/>
    <w:rsid w:val="00332F55"/>
    <w:rsid w:val="00333932"/>
    <w:rsid w:val="00334BAB"/>
    <w:rsid w:val="00343792"/>
    <w:rsid w:val="003444C8"/>
    <w:rsid w:val="00346583"/>
    <w:rsid w:val="0034687F"/>
    <w:rsid w:val="00351F23"/>
    <w:rsid w:val="003531CE"/>
    <w:rsid w:val="003533A0"/>
    <w:rsid w:val="003556AE"/>
    <w:rsid w:val="00355A2E"/>
    <w:rsid w:val="003569BD"/>
    <w:rsid w:val="00356A31"/>
    <w:rsid w:val="00361682"/>
    <w:rsid w:val="00361D90"/>
    <w:rsid w:val="003627C3"/>
    <w:rsid w:val="00362804"/>
    <w:rsid w:val="00364376"/>
    <w:rsid w:val="003645B8"/>
    <w:rsid w:val="00364703"/>
    <w:rsid w:val="0036740E"/>
    <w:rsid w:val="003677C6"/>
    <w:rsid w:val="00373DB3"/>
    <w:rsid w:val="0038056F"/>
    <w:rsid w:val="00381114"/>
    <w:rsid w:val="00383830"/>
    <w:rsid w:val="00384F82"/>
    <w:rsid w:val="00385868"/>
    <w:rsid w:val="00385D2A"/>
    <w:rsid w:val="00386337"/>
    <w:rsid w:val="00387C57"/>
    <w:rsid w:val="00392C0A"/>
    <w:rsid w:val="0039478A"/>
    <w:rsid w:val="003A0C76"/>
    <w:rsid w:val="003A3788"/>
    <w:rsid w:val="003A6274"/>
    <w:rsid w:val="003A6F24"/>
    <w:rsid w:val="003B3349"/>
    <w:rsid w:val="003B61AE"/>
    <w:rsid w:val="003B70B5"/>
    <w:rsid w:val="003C21CD"/>
    <w:rsid w:val="003C2728"/>
    <w:rsid w:val="003C4EB9"/>
    <w:rsid w:val="003C5BAF"/>
    <w:rsid w:val="003C5E29"/>
    <w:rsid w:val="003D1210"/>
    <w:rsid w:val="003E2E2C"/>
    <w:rsid w:val="003E41C3"/>
    <w:rsid w:val="003F310B"/>
    <w:rsid w:val="003F38AD"/>
    <w:rsid w:val="003F7E12"/>
    <w:rsid w:val="00401BB4"/>
    <w:rsid w:val="00403624"/>
    <w:rsid w:val="00404258"/>
    <w:rsid w:val="004057B6"/>
    <w:rsid w:val="00407D5B"/>
    <w:rsid w:val="00411684"/>
    <w:rsid w:val="004122A3"/>
    <w:rsid w:val="0041360D"/>
    <w:rsid w:val="00413747"/>
    <w:rsid w:val="00413DE8"/>
    <w:rsid w:val="0041407F"/>
    <w:rsid w:val="004153B5"/>
    <w:rsid w:val="00421213"/>
    <w:rsid w:val="0042176F"/>
    <w:rsid w:val="00422D0E"/>
    <w:rsid w:val="00423A0F"/>
    <w:rsid w:val="00423C11"/>
    <w:rsid w:val="004259E6"/>
    <w:rsid w:val="0043304A"/>
    <w:rsid w:val="004341D5"/>
    <w:rsid w:val="00435579"/>
    <w:rsid w:val="004356EF"/>
    <w:rsid w:val="00436123"/>
    <w:rsid w:val="00452758"/>
    <w:rsid w:val="00452A80"/>
    <w:rsid w:val="004614AC"/>
    <w:rsid w:val="00462FEC"/>
    <w:rsid w:val="00465397"/>
    <w:rsid w:val="00471405"/>
    <w:rsid w:val="004725D6"/>
    <w:rsid w:val="00474505"/>
    <w:rsid w:val="00474575"/>
    <w:rsid w:val="00476FB6"/>
    <w:rsid w:val="00481379"/>
    <w:rsid w:val="004824C5"/>
    <w:rsid w:val="00482A6C"/>
    <w:rsid w:val="0048620F"/>
    <w:rsid w:val="00493A6F"/>
    <w:rsid w:val="00494A51"/>
    <w:rsid w:val="00495CA4"/>
    <w:rsid w:val="00495E65"/>
    <w:rsid w:val="00497183"/>
    <w:rsid w:val="004A0C61"/>
    <w:rsid w:val="004A225B"/>
    <w:rsid w:val="004A5375"/>
    <w:rsid w:val="004B021C"/>
    <w:rsid w:val="004B372B"/>
    <w:rsid w:val="004B620A"/>
    <w:rsid w:val="004B72CC"/>
    <w:rsid w:val="004C15CF"/>
    <w:rsid w:val="004C182F"/>
    <w:rsid w:val="004C1EF4"/>
    <w:rsid w:val="004C3C98"/>
    <w:rsid w:val="004C6B91"/>
    <w:rsid w:val="004D0316"/>
    <w:rsid w:val="004D27F2"/>
    <w:rsid w:val="004D31CD"/>
    <w:rsid w:val="004D7245"/>
    <w:rsid w:val="004E1301"/>
    <w:rsid w:val="004E2369"/>
    <w:rsid w:val="004E3051"/>
    <w:rsid w:val="004E5895"/>
    <w:rsid w:val="004F1690"/>
    <w:rsid w:val="004F4517"/>
    <w:rsid w:val="004F5D8D"/>
    <w:rsid w:val="004F66F6"/>
    <w:rsid w:val="00500678"/>
    <w:rsid w:val="005036F3"/>
    <w:rsid w:val="00507320"/>
    <w:rsid w:val="00507502"/>
    <w:rsid w:val="00507774"/>
    <w:rsid w:val="005139B4"/>
    <w:rsid w:val="00516B8E"/>
    <w:rsid w:val="00521771"/>
    <w:rsid w:val="0052447A"/>
    <w:rsid w:val="00524E3B"/>
    <w:rsid w:val="00532B42"/>
    <w:rsid w:val="0053583F"/>
    <w:rsid w:val="0053660D"/>
    <w:rsid w:val="00536BCB"/>
    <w:rsid w:val="00537721"/>
    <w:rsid w:val="00547C70"/>
    <w:rsid w:val="00550B31"/>
    <w:rsid w:val="00553AA0"/>
    <w:rsid w:val="00554D7A"/>
    <w:rsid w:val="00556B35"/>
    <w:rsid w:val="00562E56"/>
    <w:rsid w:val="0056526D"/>
    <w:rsid w:val="00570470"/>
    <w:rsid w:val="0057123D"/>
    <w:rsid w:val="00571F8B"/>
    <w:rsid w:val="005739FA"/>
    <w:rsid w:val="00575B29"/>
    <w:rsid w:val="00576201"/>
    <w:rsid w:val="00582B8A"/>
    <w:rsid w:val="00583313"/>
    <w:rsid w:val="00584AEA"/>
    <w:rsid w:val="005857FD"/>
    <w:rsid w:val="0059287E"/>
    <w:rsid w:val="00594929"/>
    <w:rsid w:val="005A045E"/>
    <w:rsid w:val="005A1D0E"/>
    <w:rsid w:val="005A29F5"/>
    <w:rsid w:val="005A43F4"/>
    <w:rsid w:val="005A4A65"/>
    <w:rsid w:val="005A4E67"/>
    <w:rsid w:val="005B0A2E"/>
    <w:rsid w:val="005B1E86"/>
    <w:rsid w:val="005B3FD9"/>
    <w:rsid w:val="005B6694"/>
    <w:rsid w:val="005B7BCA"/>
    <w:rsid w:val="005C120B"/>
    <w:rsid w:val="005C50CA"/>
    <w:rsid w:val="005C65D8"/>
    <w:rsid w:val="005C6B91"/>
    <w:rsid w:val="005C6EC3"/>
    <w:rsid w:val="005D0A1F"/>
    <w:rsid w:val="005D1001"/>
    <w:rsid w:val="005D26D9"/>
    <w:rsid w:val="005D28D4"/>
    <w:rsid w:val="005D2FB9"/>
    <w:rsid w:val="005D4B59"/>
    <w:rsid w:val="005D5C13"/>
    <w:rsid w:val="005E2760"/>
    <w:rsid w:val="005E2797"/>
    <w:rsid w:val="005E365C"/>
    <w:rsid w:val="005F6433"/>
    <w:rsid w:val="00603BB6"/>
    <w:rsid w:val="00605D00"/>
    <w:rsid w:val="006066AD"/>
    <w:rsid w:val="006078DE"/>
    <w:rsid w:val="00607B3E"/>
    <w:rsid w:val="00607E7B"/>
    <w:rsid w:val="006100E7"/>
    <w:rsid w:val="006111A8"/>
    <w:rsid w:val="0061148E"/>
    <w:rsid w:val="00611CB1"/>
    <w:rsid w:val="00616353"/>
    <w:rsid w:val="006171FE"/>
    <w:rsid w:val="006174F5"/>
    <w:rsid w:val="00622799"/>
    <w:rsid w:val="00622911"/>
    <w:rsid w:val="0062331A"/>
    <w:rsid w:val="006235AF"/>
    <w:rsid w:val="006262FA"/>
    <w:rsid w:val="006270A0"/>
    <w:rsid w:val="006301E9"/>
    <w:rsid w:val="00632E2C"/>
    <w:rsid w:val="006369A9"/>
    <w:rsid w:val="006376EA"/>
    <w:rsid w:val="006405A2"/>
    <w:rsid w:val="00643D3B"/>
    <w:rsid w:val="00643F4E"/>
    <w:rsid w:val="00647441"/>
    <w:rsid w:val="00647C75"/>
    <w:rsid w:val="0065007D"/>
    <w:rsid w:val="006509EE"/>
    <w:rsid w:val="00651109"/>
    <w:rsid w:val="0065232E"/>
    <w:rsid w:val="00656C67"/>
    <w:rsid w:val="00656FE4"/>
    <w:rsid w:val="006603B5"/>
    <w:rsid w:val="0066150E"/>
    <w:rsid w:val="00662C01"/>
    <w:rsid w:val="0067514D"/>
    <w:rsid w:val="00675194"/>
    <w:rsid w:val="00675450"/>
    <w:rsid w:val="006759BC"/>
    <w:rsid w:val="00675F41"/>
    <w:rsid w:val="00676279"/>
    <w:rsid w:val="00676B05"/>
    <w:rsid w:val="006917B1"/>
    <w:rsid w:val="006937AC"/>
    <w:rsid w:val="00695ED1"/>
    <w:rsid w:val="006A2DB8"/>
    <w:rsid w:val="006A7E5D"/>
    <w:rsid w:val="006B0AA1"/>
    <w:rsid w:val="006B0D22"/>
    <w:rsid w:val="006B7570"/>
    <w:rsid w:val="006C173C"/>
    <w:rsid w:val="006C395F"/>
    <w:rsid w:val="006C4B6A"/>
    <w:rsid w:val="006C4BD6"/>
    <w:rsid w:val="006C4C1F"/>
    <w:rsid w:val="006C507B"/>
    <w:rsid w:val="006C7B66"/>
    <w:rsid w:val="006D0277"/>
    <w:rsid w:val="006D0498"/>
    <w:rsid w:val="006D2B9F"/>
    <w:rsid w:val="006D4836"/>
    <w:rsid w:val="006D5C08"/>
    <w:rsid w:val="006E36C0"/>
    <w:rsid w:val="006E4C12"/>
    <w:rsid w:val="006E7BF7"/>
    <w:rsid w:val="006E7E56"/>
    <w:rsid w:val="006F22AF"/>
    <w:rsid w:val="006F623F"/>
    <w:rsid w:val="006F7880"/>
    <w:rsid w:val="00700862"/>
    <w:rsid w:val="007014F4"/>
    <w:rsid w:val="007019D4"/>
    <w:rsid w:val="007036C6"/>
    <w:rsid w:val="00705412"/>
    <w:rsid w:val="00710B02"/>
    <w:rsid w:val="00714365"/>
    <w:rsid w:val="007145A1"/>
    <w:rsid w:val="00716EB3"/>
    <w:rsid w:val="0071764F"/>
    <w:rsid w:val="007179BA"/>
    <w:rsid w:val="00717AC5"/>
    <w:rsid w:val="00720735"/>
    <w:rsid w:val="00720F9F"/>
    <w:rsid w:val="007265E4"/>
    <w:rsid w:val="0072711B"/>
    <w:rsid w:val="00730401"/>
    <w:rsid w:val="007316C1"/>
    <w:rsid w:val="00734033"/>
    <w:rsid w:val="00737960"/>
    <w:rsid w:val="00741988"/>
    <w:rsid w:val="0074200E"/>
    <w:rsid w:val="0074660A"/>
    <w:rsid w:val="00754098"/>
    <w:rsid w:val="007548AB"/>
    <w:rsid w:val="00765E90"/>
    <w:rsid w:val="00767FCB"/>
    <w:rsid w:val="0077022C"/>
    <w:rsid w:val="007708D8"/>
    <w:rsid w:val="0077107D"/>
    <w:rsid w:val="00781B35"/>
    <w:rsid w:val="00784C94"/>
    <w:rsid w:val="00784FCE"/>
    <w:rsid w:val="00785140"/>
    <w:rsid w:val="00785D62"/>
    <w:rsid w:val="00786835"/>
    <w:rsid w:val="00786EBD"/>
    <w:rsid w:val="00790618"/>
    <w:rsid w:val="00790705"/>
    <w:rsid w:val="00790F45"/>
    <w:rsid w:val="00792EAE"/>
    <w:rsid w:val="007934E2"/>
    <w:rsid w:val="007940DE"/>
    <w:rsid w:val="00797A19"/>
    <w:rsid w:val="007A06A4"/>
    <w:rsid w:val="007A1F86"/>
    <w:rsid w:val="007A51FB"/>
    <w:rsid w:val="007A58C4"/>
    <w:rsid w:val="007A72C4"/>
    <w:rsid w:val="007A730C"/>
    <w:rsid w:val="007A7BD6"/>
    <w:rsid w:val="007B0C9E"/>
    <w:rsid w:val="007B1482"/>
    <w:rsid w:val="007B5361"/>
    <w:rsid w:val="007B70F9"/>
    <w:rsid w:val="007C23D8"/>
    <w:rsid w:val="007D52BC"/>
    <w:rsid w:val="007D6468"/>
    <w:rsid w:val="007E0CAB"/>
    <w:rsid w:val="007E1689"/>
    <w:rsid w:val="007E2364"/>
    <w:rsid w:val="007E33B6"/>
    <w:rsid w:val="007E5C9B"/>
    <w:rsid w:val="007F5748"/>
    <w:rsid w:val="007F76BD"/>
    <w:rsid w:val="007F7D0A"/>
    <w:rsid w:val="007F7F0B"/>
    <w:rsid w:val="00801E2F"/>
    <w:rsid w:val="008021BE"/>
    <w:rsid w:val="008049B0"/>
    <w:rsid w:val="00810B1C"/>
    <w:rsid w:val="00811D6B"/>
    <w:rsid w:val="008136BE"/>
    <w:rsid w:val="008138F1"/>
    <w:rsid w:val="00814D3E"/>
    <w:rsid w:val="00814F21"/>
    <w:rsid w:val="008162D5"/>
    <w:rsid w:val="00816F2B"/>
    <w:rsid w:val="00822DEF"/>
    <w:rsid w:val="00823262"/>
    <w:rsid w:val="00823299"/>
    <w:rsid w:val="008303BE"/>
    <w:rsid w:val="00831C8F"/>
    <w:rsid w:val="00832FA9"/>
    <w:rsid w:val="00834F66"/>
    <w:rsid w:val="00840A3A"/>
    <w:rsid w:val="008423AA"/>
    <w:rsid w:val="0084265D"/>
    <w:rsid w:val="00842E35"/>
    <w:rsid w:val="008463D2"/>
    <w:rsid w:val="00850387"/>
    <w:rsid w:val="00850405"/>
    <w:rsid w:val="00852A1B"/>
    <w:rsid w:val="008533AE"/>
    <w:rsid w:val="00853B37"/>
    <w:rsid w:val="00856AD3"/>
    <w:rsid w:val="00862683"/>
    <w:rsid w:val="00863F12"/>
    <w:rsid w:val="00865C68"/>
    <w:rsid w:val="00871053"/>
    <w:rsid w:val="00871E42"/>
    <w:rsid w:val="00872542"/>
    <w:rsid w:val="00874558"/>
    <w:rsid w:val="0087681E"/>
    <w:rsid w:val="00876988"/>
    <w:rsid w:val="00881602"/>
    <w:rsid w:val="00882C38"/>
    <w:rsid w:val="00885B3E"/>
    <w:rsid w:val="00886101"/>
    <w:rsid w:val="00887A1E"/>
    <w:rsid w:val="00887D22"/>
    <w:rsid w:val="00892B36"/>
    <w:rsid w:val="00892CBC"/>
    <w:rsid w:val="00896637"/>
    <w:rsid w:val="008A0A03"/>
    <w:rsid w:val="008A5223"/>
    <w:rsid w:val="008A5FB8"/>
    <w:rsid w:val="008B004E"/>
    <w:rsid w:val="008B0059"/>
    <w:rsid w:val="008B4A7F"/>
    <w:rsid w:val="008B62E6"/>
    <w:rsid w:val="008B6EB2"/>
    <w:rsid w:val="008C0387"/>
    <w:rsid w:val="008C1D76"/>
    <w:rsid w:val="008C2AFD"/>
    <w:rsid w:val="008C44F5"/>
    <w:rsid w:val="008D08C3"/>
    <w:rsid w:val="008D1CA7"/>
    <w:rsid w:val="008D283C"/>
    <w:rsid w:val="008D2E07"/>
    <w:rsid w:val="008D495B"/>
    <w:rsid w:val="008E1A38"/>
    <w:rsid w:val="008E1ABD"/>
    <w:rsid w:val="008E26C4"/>
    <w:rsid w:val="008E4076"/>
    <w:rsid w:val="008E5C0E"/>
    <w:rsid w:val="008F3068"/>
    <w:rsid w:val="008F3113"/>
    <w:rsid w:val="008F7340"/>
    <w:rsid w:val="00900B78"/>
    <w:rsid w:val="00900BAC"/>
    <w:rsid w:val="009038AF"/>
    <w:rsid w:val="00913CB6"/>
    <w:rsid w:val="0091581C"/>
    <w:rsid w:val="00915909"/>
    <w:rsid w:val="00930106"/>
    <w:rsid w:val="009315B2"/>
    <w:rsid w:val="009318D5"/>
    <w:rsid w:val="00934D9E"/>
    <w:rsid w:val="00940903"/>
    <w:rsid w:val="00946E96"/>
    <w:rsid w:val="00950C56"/>
    <w:rsid w:val="00953121"/>
    <w:rsid w:val="0095736A"/>
    <w:rsid w:val="009635AD"/>
    <w:rsid w:val="00964F71"/>
    <w:rsid w:val="009749A7"/>
    <w:rsid w:val="0098475F"/>
    <w:rsid w:val="00986C73"/>
    <w:rsid w:val="0098700D"/>
    <w:rsid w:val="009916F0"/>
    <w:rsid w:val="00991C11"/>
    <w:rsid w:val="00992BF8"/>
    <w:rsid w:val="0099496C"/>
    <w:rsid w:val="00995B1E"/>
    <w:rsid w:val="00996832"/>
    <w:rsid w:val="00997319"/>
    <w:rsid w:val="009A3B84"/>
    <w:rsid w:val="009A3DA6"/>
    <w:rsid w:val="009A563C"/>
    <w:rsid w:val="009A5B8F"/>
    <w:rsid w:val="009A6B08"/>
    <w:rsid w:val="009A6B8B"/>
    <w:rsid w:val="009B3A0B"/>
    <w:rsid w:val="009B3AB6"/>
    <w:rsid w:val="009B59DD"/>
    <w:rsid w:val="009B5C47"/>
    <w:rsid w:val="009B6CB2"/>
    <w:rsid w:val="009B747E"/>
    <w:rsid w:val="009C1C43"/>
    <w:rsid w:val="009C21ED"/>
    <w:rsid w:val="009C59E8"/>
    <w:rsid w:val="009C7ECE"/>
    <w:rsid w:val="009E0165"/>
    <w:rsid w:val="009E2FD0"/>
    <w:rsid w:val="009E51AB"/>
    <w:rsid w:val="009E5F63"/>
    <w:rsid w:val="009F1CC3"/>
    <w:rsid w:val="009F27E2"/>
    <w:rsid w:val="009F54BB"/>
    <w:rsid w:val="009F6A73"/>
    <w:rsid w:val="00A02536"/>
    <w:rsid w:val="00A1025C"/>
    <w:rsid w:val="00A12826"/>
    <w:rsid w:val="00A171BC"/>
    <w:rsid w:val="00A17437"/>
    <w:rsid w:val="00A176C1"/>
    <w:rsid w:val="00A212C9"/>
    <w:rsid w:val="00A21F28"/>
    <w:rsid w:val="00A238F0"/>
    <w:rsid w:val="00A31E95"/>
    <w:rsid w:val="00A407B0"/>
    <w:rsid w:val="00A40802"/>
    <w:rsid w:val="00A419B6"/>
    <w:rsid w:val="00A4484B"/>
    <w:rsid w:val="00A454DF"/>
    <w:rsid w:val="00A45DF2"/>
    <w:rsid w:val="00A46FFC"/>
    <w:rsid w:val="00A502B2"/>
    <w:rsid w:val="00A51B5C"/>
    <w:rsid w:val="00A52581"/>
    <w:rsid w:val="00A5260B"/>
    <w:rsid w:val="00A530E5"/>
    <w:rsid w:val="00A54F12"/>
    <w:rsid w:val="00A55E4C"/>
    <w:rsid w:val="00A601BC"/>
    <w:rsid w:val="00A64336"/>
    <w:rsid w:val="00A7111C"/>
    <w:rsid w:val="00A728FE"/>
    <w:rsid w:val="00A75F87"/>
    <w:rsid w:val="00A811D7"/>
    <w:rsid w:val="00A81491"/>
    <w:rsid w:val="00A84586"/>
    <w:rsid w:val="00A86F6E"/>
    <w:rsid w:val="00A93E22"/>
    <w:rsid w:val="00A97F1F"/>
    <w:rsid w:val="00AA49C9"/>
    <w:rsid w:val="00AA5757"/>
    <w:rsid w:val="00AA6623"/>
    <w:rsid w:val="00AA68F5"/>
    <w:rsid w:val="00AA6EA4"/>
    <w:rsid w:val="00AA6F1A"/>
    <w:rsid w:val="00AB4573"/>
    <w:rsid w:val="00AB5AA8"/>
    <w:rsid w:val="00AB644C"/>
    <w:rsid w:val="00AC59E0"/>
    <w:rsid w:val="00AC5B52"/>
    <w:rsid w:val="00AC626C"/>
    <w:rsid w:val="00AD004B"/>
    <w:rsid w:val="00AD130D"/>
    <w:rsid w:val="00AD151B"/>
    <w:rsid w:val="00AD5791"/>
    <w:rsid w:val="00AD78CD"/>
    <w:rsid w:val="00AE1571"/>
    <w:rsid w:val="00AE2817"/>
    <w:rsid w:val="00AE3949"/>
    <w:rsid w:val="00AE3D48"/>
    <w:rsid w:val="00AE4712"/>
    <w:rsid w:val="00AE6541"/>
    <w:rsid w:val="00AF54EF"/>
    <w:rsid w:val="00AF7C66"/>
    <w:rsid w:val="00B00543"/>
    <w:rsid w:val="00B01711"/>
    <w:rsid w:val="00B064F0"/>
    <w:rsid w:val="00B07F13"/>
    <w:rsid w:val="00B125D9"/>
    <w:rsid w:val="00B12F08"/>
    <w:rsid w:val="00B151C0"/>
    <w:rsid w:val="00B1712C"/>
    <w:rsid w:val="00B17D4C"/>
    <w:rsid w:val="00B20A44"/>
    <w:rsid w:val="00B21212"/>
    <w:rsid w:val="00B212DF"/>
    <w:rsid w:val="00B22C6D"/>
    <w:rsid w:val="00B22FF1"/>
    <w:rsid w:val="00B23CC6"/>
    <w:rsid w:val="00B27065"/>
    <w:rsid w:val="00B27621"/>
    <w:rsid w:val="00B31182"/>
    <w:rsid w:val="00B34706"/>
    <w:rsid w:val="00B35293"/>
    <w:rsid w:val="00B36E6C"/>
    <w:rsid w:val="00B42FC0"/>
    <w:rsid w:val="00B532D3"/>
    <w:rsid w:val="00B54F72"/>
    <w:rsid w:val="00B57432"/>
    <w:rsid w:val="00B6049F"/>
    <w:rsid w:val="00B637F2"/>
    <w:rsid w:val="00B655B1"/>
    <w:rsid w:val="00B67C39"/>
    <w:rsid w:val="00B7211F"/>
    <w:rsid w:val="00B7281A"/>
    <w:rsid w:val="00B737EA"/>
    <w:rsid w:val="00B746FC"/>
    <w:rsid w:val="00B8026B"/>
    <w:rsid w:val="00B83193"/>
    <w:rsid w:val="00B85218"/>
    <w:rsid w:val="00B8632C"/>
    <w:rsid w:val="00B874C6"/>
    <w:rsid w:val="00B907C4"/>
    <w:rsid w:val="00B97515"/>
    <w:rsid w:val="00B978E9"/>
    <w:rsid w:val="00BA239F"/>
    <w:rsid w:val="00BA2A28"/>
    <w:rsid w:val="00BA30CA"/>
    <w:rsid w:val="00BA4F73"/>
    <w:rsid w:val="00BA617F"/>
    <w:rsid w:val="00BA7BFC"/>
    <w:rsid w:val="00BB11D2"/>
    <w:rsid w:val="00BB27C6"/>
    <w:rsid w:val="00BB5159"/>
    <w:rsid w:val="00BB5C19"/>
    <w:rsid w:val="00BC03F4"/>
    <w:rsid w:val="00BC15A2"/>
    <w:rsid w:val="00BC6F53"/>
    <w:rsid w:val="00BD2854"/>
    <w:rsid w:val="00BD4005"/>
    <w:rsid w:val="00BE2080"/>
    <w:rsid w:val="00BE4592"/>
    <w:rsid w:val="00BF60AF"/>
    <w:rsid w:val="00BF752D"/>
    <w:rsid w:val="00C01704"/>
    <w:rsid w:val="00C040FE"/>
    <w:rsid w:val="00C078A8"/>
    <w:rsid w:val="00C1047F"/>
    <w:rsid w:val="00C13BD1"/>
    <w:rsid w:val="00C1461A"/>
    <w:rsid w:val="00C14D72"/>
    <w:rsid w:val="00C17FCA"/>
    <w:rsid w:val="00C26636"/>
    <w:rsid w:val="00C32B1A"/>
    <w:rsid w:val="00C37C98"/>
    <w:rsid w:val="00C40576"/>
    <w:rsid w:val="00C41577"/>
    <w:rsid w:val="00C415A1"/>
    <w:rsid w:val="00C417BC"/>
    <w:rsid w:val="00C43C86"/>
    <w:rsid w:val="00C54D2B"/>
    <w:rsid w:val="00C61017"/>
    <w:rsid w:val="00C624BD"/>
    <w:rsid w:val="00C63FA7"/>
    <w:rsid w:val="00C655CB"/>
    <w:rsid w:val="00C65695"/>
    <w:rsid w:val="00C661D8"/>
    <w:rsid w:val="00C721DF"/>
    <w:rsid w:val="00C7485E"/>
    <w:rsid w:val="00C77A18"/>
    <w:rsid w:val="00C86804"/>
    <w:rsid w:val="00C91976"/>
    <w:rsid w:val="00C91CD0"/>
    <w:rsid w:val="00C9350F"/>
    <w:rsid w:val="00C94C0A"/>
    <w:rsid w:val="00C9544B"/>
    <w:rsid w:val="00C9631D"/>
    <w:rsid w:val="00CA05E9"/>
    <w:rsid w:val="00CA74C1"/>
    <w:rsid w:val="00CA756C"/>
    <w:rsid w:val="00CB2DBB"/>
    <w:rsid w:val="00CC00CC"/>
    <w:rsid w:val="00CC0170"/>
    <w:rsid w:val="00CC2FBC"/>
    <w:rsid w:val="00CC37D4"/>
    <w:rsid w:val="00CC4EA8"/>
    <w:rsid w:val="00CD25FE"/>
    <w:rsid w:val="00CD3F28"/>
    <w:rsid w:val="00CD602F"/>
    <w:rsid w:val="00CE2837"/>
    <w:rsid w:val="00CE458E"/>
    <w:rsid w:val="00CE739F"/>
    <w:rsid w:val="00CF098E"/>
    <w:rsid w:val="00CF1CAB"/>
    <w:rsid w:val="00CF5346"/>
    <w:rsid w:val="00D02D78"/>
    <w:rsid w:val="00D03B40"/>
    <w:rsid w:val="00D03E48"/>
    <w:rsid w:val="00D079F8"/>
    <w:rsid w:val="00D11510"/>
    <w:rsid w:val="00D1461B"/>
    <w:rsid w:val="00D15A28"/>
    <w:rsid w:val="00D20234"/>
    <w:rsid w:val="00D20A6A"/>
    <w:rsid w:val="00D20E46"/>
    <w:rsid w:val="00D20ED9"/>
    <w:rsid w:val="00D22433"/>
    <w:rsid w:val="00D26DD4"/>
    <w:rsid w:val="00D32DDC"/>
    <w:rsid w:val="00D33B3D"/>
    <w:rsid w:val="00D408DD"/>
    <w:rsid w:val="00D43F70"/>
    <w:rsid w:val="00D4594A"/>
    <w:rsid w:val="00D53D47"/>
    <w:rsid w:val="00D54B4B"/>
    <w:rsid w:val="00D61416"/>
    <w:rsid w:val="00D61A3E"/>
    <w:rsid w:val="00D65673"/>
    <w:rsid w:val="00D6660A"/>
    <w:rsid w:val="00D670D8"/>
    <w:rsid w:val="00D677F5"/>
    <w:rsid w:val="00D735C8"/>
    <w:rsid w:val="00D7435E"/>
    <w:rsid w:val="00D77A9A"/>
    <w:rsid w:val="00D8014D"/>
    <w:rsid w:val="00D82F6E"/>
    <w:rsid w:val="00D84FC8"/>
    <w:rsid w:val="00D87FDF"/>
    <w:rsid w:val="00D9210D"/>
    <w:rsid w:val="00D94D84"/>
    <w:rsid w:val="00D96027"/>
    <w:rsid w:val="00D97B83"/>
    <w:rsid w:val="00DA023D"/>
    <w:rsid w:val="00DA4929"/>
    <w:rsid w:val="00DA78B2"/>
    <w:rsid w:val="00DB3D04"/>
    <w:rsid w:val="00DC11F5"/>
    <w:rsid w:val="00DC19FE"/>
    <w:rsid w:val="00DC2CCC"/>
    <w:rsid w:val="00DC411C"/>
    <w:rsid w:val="00DC423C"/>
    <w:rsid w:val="00DC69C2"/>
    <w:rsid w:val="00DC75AB"/>
    <w:rsid w:val="00DD027B"/>
    <w:rsid w:val="00DD0BF9"/>
    <w:rsid w:val="00DD28B3"/>
    <w:rsid w:val="00DD3FF5"/>
    <w:rsid w:val="00DD42D0"/>
    <w:rsid w:val="00DD4AC9"/>
    <w:rsid w:val="00DD560D"/>
    <w:rsid w:val="00DE1F9C"/>
    <w:rsid w:val="00DE2AAB"/>
    <w:rsid w:val="00DE2BC3"/>
    <w:rsid w:val="00DE31F3"/>
    <w:rsid w:val="00DE35EF"/>
    <w:rsid w:val="00DE4A81"/>
    <w:rsid w:val="00DE556C"/>
    <w:rsid w:val="00DE6A0D"/>
    <w:rsid w:val="00DE72C7"/>
    <w:rsid w:val="00DF1866"/>
    <w:rsid w:val="00DF1A86"/>
    <w:rsid w:val="00DF3C15"/>
    <w:rsid w:val="00DF5A25"/>
    <w:rsid w:val="00DF718A"/>
    <w:rsid w:val="00E018A2"/>
    <w:rsid w:val="00E02107"/>
    <w:rsid w:val="00E14554"/>
    <w:rsid w:val="00E148F5"/>
    <w:rsid w:val="00E16507"/>
    <w:rsid w:val="00E17EC9"/>
    <w:rsid w:val="00E20E00"/>
    <w:rsid w:val="00E2244A"/>
    <w:rsid w:val="00E246DD"/>
    <w:rsid w:val="00E32A11"/>
    <w:rsid w:val="00E34A71"/>
    <w:rsid w:val="00E400EC"/>
    <w:rsid w:val="00E4191B"/>
    <w:rsid w:val="00E43368"/>
    <w:rsid w:val="00E511D7"/>
    <w:rsid w:val="00E55C4D"/>
    <w:rsid w:val="00E57CCA"/>
    <w:rsid w:val="00E65E92"/>
    <w:rsid w:val="00E667CD"/>
    <w:rsid w:val="00E67EFF"/>
    <w:rsid w:val="00E71C27"/>
    <w:rsid w:val="00E73A76"/>
    <w:rsid w:val="00E76C2D"/>
    <w:rsid w:val="00E807EA"/>
    <w:rsid w:val="00E80CEE"/>
    <w:rsid w:val="00E818C7"/>
    <w:rsid w:val="00E82625"/>
    <w:rsid w:val="00E83E79"/>
    <w:rsid w:val="00E90D07"/>
    <w:rsid w:val="00E9106F"/>
    <w:rsid w:val="00E9272B"/>
    <w:rsid w:val="00E96989"/>
    <w:rsid w:val="00EA0588"/>
    <w:rsid w:val="00EA1EFD"/>
    <w:rsid w:val="00EA3357"/>
    <w:rsid w:val="00EA465F"/>
    <w:rsid w:val="00EA6DEC"/>
    <w:rsid w:val="00EA7606"/>
    <w:rsid w:val="00EB0FEC"/>
    <w:rsid w:val="00EB5437"/>
    <w:rsid w:val="00EC2290"/>
    <w:rsid w:val="00EC3158"/>
    <w:rsid w:val="00EC4744"/>
    <w:rsid w:val="00EC506A"/>
    <w:rsid w:val="00EC5F14"/>
    <w:rsid w:val="00EC6371"/>
    <w:rsid w:val="00EC7FC7"/>
    <w:rsid w:val="00ED0A29"/>
    <w:rsid w:val="00ED2930"/>
    <w:rsid w:val="00ED7D8C"/>
    <w:rsid w:val="00EE1249"/>
    <w:rsid w:val="00EE3DBA"/>
    <w:rsid w:val="00EE6A4C"/>
    <w:rsid w:val="00EF05E7"/>
    <w:rsid w:val="00EF0BF2"/>
    <w:rsid w:val="00EF35DE"/>
    <w:rsid w:val="00EF4CCE"/>
    <w:rsid w:val="00EF5B31"/>
    <w:rsid w:val="00EF6A39"/>
    <w:rsid w:val="00F01426"/>
    <w:rsid w:val="00F04F49"/>
    <w:rsid w:val="00F065F0"/>
    <w:rsid w:val="00F0673F"/>
    <w:rsid w:val="00F0691A"/>
    <w:rsid w:val="00F11A10"/>
    <w:rsid w:val="00F141E4"/>
    <w:rsid w:val="00F1689D"/>
    <w:rsid w:val="00F17527"/>
    <w:rsid w:val="00F214FC"/>
    <w:rsid w:val="00F2409E"/>
    <w:rsid w:val="00F27452"/>
    <w:rsid w:val="00F34F66"/>
    <w:rsid w:val="00F402D6"/>
    <w:rsid w:val="00F406B3"/>
    <w:rsid w:val="00F42E1C"/>
    <w:rsid w:val="00F43DA2"/>
    <w:rsid w:val="00F44959"/>
    <w:rsid w:val="00F52E26"/>
    <w:rsid w:val="00F53CF8"/>
    <w:rsid w:val="00F54326"/>
    <w:rsid w:val="00F54BF9"/>
    <w:rsid w:val="00F54CEF"/>
    <w:rsid w:val="00F551DA"/>
    <w:rsid w:val="00F6191A"/>
    <w:rsid w:val="00F62193"/>
    <w:rsid w:val="00F65312"/>
    <w:rsid w:val="00F653A6"/>
    <w:rsid w:val="00F67115"/>
    <w:rsid w:val="00F67303"/>
    <w:rsid w:val="00F67C21"/>
    <w:rsid w:val="00F70AC7"/>
    <w:rsid w:val="00F71DEF"/>
    <w:rsid w:val="00F73CBB"/>
    <w:rsid w:val="00F756A2"/>
    <w:rsid w:val="00F76826"/>
    <w:rsid w:val="00F77C7E"/>
    <w:rsid w:val="00F802E7"/>
    <w:rsid w:val="00F80F08"/>
    <w:rsid w:val="00F82528"/>
    <w:rsid w:val="00F83A35"/>
    <w:rsid w:val="00F904FB"/>
    <w:rsid w:val="00F91326"/>
    <w:rsid w:val="00F95409"/>
    <w:rsid w:val="00FA07B3"/>
    <w:rsid w:val="00FA1C1D"/>
    <w:rsid w:val="00FA217D"/>
    <w:rsid w:val="00FB4217"/>
    <w:rsid w:val="00FB5C71"/>
    <w:rsid w:val="00FC27EC"/>
    <w:rsid w:val="00FC33C2"/>
    <w:rsid w:val="00FC4DB5"/>
    <w:rsid w:val="00FC6036"/>
    <w:rsid w:val="00FC6891"/>
    <w:rsid w:val="00FD1101"/>
    <w:rsid w:val="00FD392B"/>
    <w:rsid w:val="00FD41AD"/>
    <w:rsid w:val="00FD5D12"/>
    <w:rsid w:val="00FD69EB"/>
    <w:rsid w:val="00FD7A4F"/>
    <w:rsid w:val="00FE03CD"/>
    <w:rsid w:val="00FE17AB"/>
    <w:rsid w:val="00FE21FF"/>
    <w:rsid w:val="00FE22D7"/>
    <w:rsid w:val="00FE67D6"/>
    <w:rsid w:val="00FE6EE2"/>
    <w:rsid w:val="00FE76C5"/>
    <w:rsid w:val="00FF0563"/>
    <w:rsid w:val="00FF2B7D"/>
    <w:rsid w:val="00FF3616"/>
    <w:rsid w:val="00FF447F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F4A21"/>
  <w15:docId w15:val="{B4DFA577-4431-4656-A981-25F5ADC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6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869"/>
    <w:pPr>
      <w:keepNext/>
      <w:spacing w:line="240" w:lineRule="exact"/>
      <w:ind w:left="2160" w:firstLine="72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869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B1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C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7C7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C7869"/>
    <w:rPr>
      <w:rFonts w:cs="Times New Roman"/>
      <w:color w:val="0000FF"/>
      <w:u w:val="single"/>
    </w:rPr>
  </w:style>
  <w:style w:type="paragraph" w:customStyle="1" w:styleId="noindent">
    <w:name w:val="noindent"/>
    <w:basedOn w:val="Normal"/>
    <w:uiPriority w:val="99"/>
    <w:rsid w:val="000C786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message">
    <w:name w:val="message"/>
    <w:basedOn w:val="DefaultParagraphFont"/>
    <w:uiPriority w:val="99"/>
    <w:rsid w:val="003645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7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C75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52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C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7C75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33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07760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940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40DE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6917B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C3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F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3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F6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5B3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B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B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D25FE"/>
  </w:style>
  <w:style w:type="character" w:customStyle="1" w:styleId="FootnoteTextChar">
    <w:name w:val="Footnote Text Char"/>
    <w:basedOn w:val="DefaultParagraphFont"/>
    <w:link w:val="FootnoteText"/>
    <w:uiPriority w:val="99"/>
    <w:rsid w:val="00CD2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5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45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E1301"/>
  </w:style>
  <w:style w:type="paragraph" w:customStyle="1" w:styleId="xmsonormal">
    <w:name w:val="x_msonormal"/>
    <w:basedOn w:val="Normal"/>
    <w:rsid w:val="009F54BB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9F54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77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B11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6AD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llen@niri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c.gov/rules/petitions/2015/petn4-691.pdf" TargetMode="External"/><Relationship Id="rId2" Type="http://schemas.openxmlformats.org/officeDocument/2006/relationships/hyperlink" Target="https://www.sec.gov/rules/petitions/2015/petn4-689.pdf" TargetMode="External"/><Relationship Id="rId1" Type="http://schemas.openxmlformats.org/officeDocument/2006/relationships/hyperlink" Target="https://www.sec.gov/rules/petitions/2013/petn4-659.pdf" TargetMode="External"/><Relationship Id="rId5" Type="http://schemas.openxmlformats.org/officeDocument/2006/relationships/hyperlink" Target="https://www.barrons.com/articles/hostile-bidders-are-ready-to-pounce-on-struggling-companies-theyre-waitingfor-now-51585326808" TargetMode="External"/><Relationship Id="rId4" Type="http://schemas.openxmlformats.org/officeDocument/2006/relationships/hyperlink" Target="https://www.bloombergquint.com/markets/tepper-einhorn-soros-stock-holdings-would-go-dark-in-sec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B72D-3E36-43ED-B007-35F894FF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Novatel Wirelss, Inc.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Allen</dc:creator>
  <cp:lastModifiedBy>Ted Allen</cp:lastModifiedBy>
  <cp:revision>7</cp:revision>
  <cp:lastPrinted>2020-05-22T17:31:00Z</cp:lastPrinted>
  <dcterms:created xsi:type="dcterms:W3CDTF">2020-07-30T14:56:00Z</dcterms:created>
  <dcterms:modified xsi:type="dcterms:W3CDTF">2020-08-11T15:13:00Z</dcterms:modified>
</cp:coreProperties>
</file>