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FBCC" w14:textId="77777777" w:rsidR="00A30B00" w:rsidRDefault="0019658D">
      <w:r>
        <w:t>Submitting IRC</w:t>
      </w:r>
      <w:r w:rsidR="00B26318">
        <w:t>®</w:t>
      </w:r>
      <w:r>
        <w:t xml:space="preserve"> exam</w:t>
      </w:r>
      <w:r w:rsidR="001F3160">
        <w:t>ination</w:t>
      </w:r>
      <w:r>
        <w:t xml:space="preserve"> “items” </w:t>
      </w:r>
      <w:r w:rsidR="00371904">
        <w:t xml:space="preserve">(see definition below) </w:t>
      </w:r>
      <w:r w:rsidR="00CB5CAA">
        <w:t xml:space="preserve">can be </w:t>
      </w:r>
      <w:r w:rsidR="00371904">
        <w:t xml:space="preserve">a </w:t>
      </w:r>
      <w:r w:rsidR="00CB5CAA">
        <w:t xml:space="preserve">very helpful </w:t>
      </w:r>
      <w:r w:rsidR="00371904">
        <w:t xml:space="preserve">way for </w:t>
      </w:r>
      <w:r w:rsidR="00BE38B4">
        <w:t>certification holders</w:t>
      </w:r>
      <w:r w:rsidR="00403B1C">
        <w:t xml:space="preserve"> </w:t>
      </w:r>
      <w:r w:rsidR="00371904">
        <w:t xml:space="preserve">to earn </w:t>
      </w:r>
      <w:r w:rsidR="001F3160">
        <w:t>Professional Development Units (</w:t>
      </w:r>
      <w:r w:rsidR="00CB5CAA">
        <w:t>PDUs</w:t>
      </w:r>
      <w:r w:rsidR="001F3160">
        <w:t>)</w:t>
      </w:r>
      <w:r w:rsidR="00CB5CAA">
        <w:t xml:space="preserve"> </w:t>
      </w:r>
      <w:r w:rsidR="00371904">
        <w:t xml:space="preserve">necessary for </w:t>
      </w:r>
      <w:r w:rsidR="00CB5CAA">
        <w:t xml:space="preserve">certification renewal, </w:t>
      </w:r>
      <w:r w:rsidR="00371904">
        <w:t xml:space="preserve">and to help refresh IR practice </w:t>
      </w:r>
      <w:r w:rsidR="00CB5CAA">
        <w:t>knowledge</w:t>
      </w:r>
      <w:r w:rsidR="00403B1C">
        <w:t>.</w:t>
      </w:r>
      <w:r w:rsidR="00CB5CAA">
        <w:t xml:space="preserve"> </w:t>
      </w:r>
    </w:p>
    <w:p w14:paraId="1D3AAAB0" w14:textId="77777777" w:rsidR="00371904" w:rsidRDefault="00371904"/>
    <w:p w14:paraId="6EB2D2CA" w14:textId="77777777" w:rsidR="00CB5CAA" w:rsidRDefault="001F3160">
      <w:r>
        <w:t>A</w:t>
      </w:r>
      <w:r w:rsidR="00CB5CAA">
        <w:t>ctive IRC holder</w:t>
      </w:r>
      <w:r>
        <w:t xml:space="preserve">s are encouraged </w:t>
      </w:r>
      <w:r w:rsidR="00CB5CAA">
        <w:t>to submit</w:t>
      </w:r>
      <w:r>
        <w:t xml:space="preserve"> as many new items as possible, and may claim 1 PDU for every 5 items submitted. </w:t>
      </w:r>
      <w:r w:rsidR="00CB5CAA">
        <w:t xml:space="preserve">Once submitted, the items become the property of NIRI. </w:t>
      </w:r>
    </w:p>
    <w:p w14:paraId="5D4D79B4" w14:textId="77777777" w:rsidR="00CB5CAA" w:rsidRDefault="00CB5CAA"/>
    <w:p w14:paraId="0042E502" w14:textId="77777777" w:rsidR="00CB5CAA" w:rsidRDefault="00CB5CAA">
      <w:r>
        <w:t xml:space="preserve">When composing </w:t>
      </w:r>
      <w:r w:rsidR="001F3160">
        <w:t xml:space="preserve">IRC </w:t>
      </w:r>
      <w:r w:rsidR="00580BD7">
        <w:t>examination</w:t>
      </w:r>
      <w:r>
        <w:t xml:space="preserve"> items, please adhere to the following:</w:t>
      </w:r>
    </w:p>
    <w:p w14:paraId="21581F72" w14:textId="77777777" w:rsidR="00CB5CAA" w:rsidRDefault="00CB5CAA"/>
    <w:p w14:paraId="4CBB2837" w14:textId="77777777" w:rsidR="00CB5CAA" w:rsidRDefault="00CB5CAA" w:rsidP="00A30B00">
      <w:pPr>
        <w:pStyle w:val="ListParagraph"/>
        <w:numPr>
          <w:ilvl w:val="0"/>
          <w:numId w:val="1"/>
        </w:numPr>
      </w:pPr>
      <w:r>
        <w:t>Type or print clearly.</w:t>
      </w:r>
    </w:p>
    <w:p w14:paraId="43029900" w14:textId="77777777" w:rsidR="00A0799E" w:rsidRPr="00BB175D" w:rsidRDefault="00A0799E" w:rsidP="00A0799E">
      <w:pPr>
        <w:pStyle w:val="ListParagraph"/>
        <w:numPr>
          <w:ilvl w:val="0"/>
          <w:numId w:val="1"/>
        </w:numPr>
      </w:pPr>
      <w:r w:rsidRPr="00BB175D">
        <w:t>Use clear and simple language.</w:t>
      </w:r>
    </w:p>
    <w:p w14:paraId="55B478BB" w14:textId="77777777" w:rsidR="00A0799E" w:rsidRDefault="00A0799E" w:rsidP="00A0799E">
      <w:pPr>
        <w:pStyle w:val="ListParagraph"/>
        <w:numPr>
          <w:ilvl w:val="0"/>
          <w:numId w:val="1"/>
        </w:numPr>
      </w:pPr>
      <w:r>
        <w:t>Use p</w:t>
      </w:r>
      <w:r w:rsidRPr="00BB175D">
        <w:t xml:space="preserve">ositively </w:t>
      </w:r>
      <w:r>
        <w:t>w</w:t>
      </w:r>
      <w:r w:rsidRPr="00BB175D">
        <w:t xml:space="preserve">orded </w:t>
      </w:r>
      <w:r>
        <w:t>language</w:t>
      </w:r>
      <w:r w:rsidRPr="00BB175D">
        <w:t>.</w:t>
      </w:r>
    </w:p>
    <w:p w14:paraId="07886EB6" w14:textId="77777777" w:rsidR="00A0799E" w:rsidRDefault="00A0799E" w:rsidP="00A0799E">
      <w:pPr>
        <w:pStyle w:val="ListParagraph"/>
        <w:numPr>
          <w:ilvl w:val="0"/>
          <w:numId w:val="1"/>
        </w:numPr>
      </w:pPr>
      <w:r w:rsidRPr="00BB175D">
        <w:t>Avoid the use of negative wording.</w:t>
      </w:r>
    </w:p>
    <w:p w14:paraId="180BE841" w14:textId="77777777" w:rsidR="00A0799E" w:rsidRDefault="00A0799E" w:rsidP="00A0799E">
      <w:pPr>
        <w:pStyle w:val="ListParagraph"/>
        <w:numPr>
          <w:ilvl w:val="0"/>
          <w:numId w:val="1"/>
        </w:numPr>
      </w:pPr>
      <w:r>
        <w:t>Select one best response.</w:t>
      </w:r>
    </w:p>
    <w:p w14:paraId="1BD9B891" w14:textId="77777777" w:rsidR="00CB5CAA" w:rsidRDefault="00CB5CAA" w:rsidP="00A30B00">
      <w:pPr>
        <w:pStyle w:val="ListParagraph"/>
        <w:numPr>
          <w:ilvl w:val="0"/>
          <w:numId w:val="1"/>
        </w:numPr>
      </w:pPr>
      <w:r>
        <w:t>Avoid items that reference specific companies or markets.</w:t>
      </w:r>
    </w:p>
    <w:p w14:paraId="0A8A59F0" w14:textId="77777777" w:rsidR="00BB175D" w:rsidRDefault="00BB175D" w:rsidP="00BB175D">
      <w:pPr>
        <w:pStyle w:val="ListParagraph"/>
        <w:numPr>
          <w:ilvl w:val="0"/>
          <w:numId w:val="1"/>
        </w:numPr>
      </w:pPr>
      <w:r w:rsidRPr="00BB175D">
        <w:t>Do not use the options “all of the above” or “none of the above.”</w:t>
      </w:r>
    </w:p>
    <w:p w14:paraId="78A8F5B2" w14:textId="77777777" w:rsidR="00BB175D" w:rsidRDefault="00BB175D" w:rsidP="00BB175D">
      <w:pPr>
        <w:pStyle w:val="ListParagraph"/>
        <w:numPr>
          <w:ilvl w:val="0"/>
          <w:numId w:val="1"/>
        </w:numPr>
      </w:pPr>
      <w:r w:rsidRPr="00BB175D">
        <w:t>Use an efficient format</w:t>
      </w:r>
      <w:r>
        <w:t xml:space="preserve">. </w:t>
      </w:r>
      <w:r w:rsidRPr="00BB175D">
        <w:t>Avoid complex sentence structure.</w:t>
      </w:r>
    </w:p>
    <w:p w14:paraId="04E69FA2" w14:textId="77777777" w:rsidR="00BB175D" w:rsidRDefault="00BB175D" w:rsidP="00BB175D">
      <w:pPr>
        <w:pStyle w:val="ListParagraph"/>
        <w:numPr>
          <w:ilvl w:val="0"/>
          <w:numId w:val="1"/>
        </w:numPr>
      </w:pPr>
      <w:r>
        <w:t>Omit irrelevant information.</w:t>
      </w:r>
    </w:p>
    <w:p w14:paraId="1E86C7F8" w14:textId="77777777" w:rsidR="00CB5CAA" w:rsidRDefault="00CB5CAA" w:rsidP="00A30B00">
      <w:pPr>
        <w:pStyle w:val="ListParagraph"/>
        <w:numPr>
          <w:ilvl w:val="0"/>
          <w:numId w:val="1"/>
        </w:numPr>
      </w:pPr>
      <w:r>
        <w:t>Indicate the correct answer by placing an asterisk (*) next to the appropriate letter.</w:t>
      </w:r>
    </w:p>
    <w:p w14:paraId="33B23ED3" w14:textId="77777777" w:rsidR="00CB5CAA" w:rsidRDefault="00CB5CAA" w:rsidP="00A30B00">
      <w:pPr>
        <w:pStyle w:val="ListParagraph"/>
        <w:numPr>
          <w:ilvl w:val="0"/>
          <w:numId w:val="1"/>
        </w:numPr>
      </w:pPr>
      <w:r>
        <w:t>Be sure the three wrong answers are plausible (i.e. not obviously wrong).</w:t>
      </w:r>
    </w:p>
    <w:p w14:paraId="5820F44D" w14:textId="77777777" w:rsidR="00CB5CAA" w:rsidRDefault="00CB5CAA" w:rsidP="00A30B00">
      <w:pPr>
        <w:pStyle w:val="ListParagraph"/>
        <w:numPr>
          <w:ilvl w:val="0"/>
          <w:numId w:val="1"/>
        </w:numPr>
      </w:pPr>
      <w:r>
        <w:t xml:space="preserve">Be sure to provide the name of the reference used where confirmation of the correct answer can be found. If using online references, please </w:t>
      </w:r>
      <w:r w:rsidR="001F3160">
        <w:t xml:space="preserve">provide </w:t>
      </w:r>
      <w:r w:rsidR="005A1995">
        <w:t xml:space="preserve">the link and </w:t>
      </w:r>
      <w:r>
        <w:t>the name of the website.</w:t>
      </w:r>
    </w:p>
    <w:p w14:paraId="03490B0A" w14:textId="77777777" w:rsidR="005A1995" w:rsidRDefault="005A1995"/>
    <w:p w14:paraId="243922AD" w14:textId="77777777" w:rsidR="00AD1C58" w:rsidRPr="001F3160" w:rsidRDefault="00AD1C58">
      <w:pPr>
        <w:rPr>
          <w:b/>
        </w:rPr>
      </w:pPr>
      <w:r w:rsidRPr="001F3160">
        <w:rPr>
          <w:b/>
        </w:rPr>
        <w:t>Sample Item</w:t>
      </w:r>
      <w:r w:rsidR="00371904" w:rsidRPr="001F3160">
        <w:rPr>
          <w:b/>
        </w:rPr>
        <w:t>:</w:t>
      </w:r>
    </w:p>
    <w:p w14:paraId="3EF4087D" w14:textId="77777777" w:rsidR="00371904" w:rsidRDefault="00371904"/>
    <w:p w14:paraId="32F67263" w14:textId="77777777" w:rsidR="009E4392" w:rsidRPr="00322F04" w:rsidRDefault="009E4392" w:rsidP="009E439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r w:rsidRPr="00322F04">
        <w:rPr>
          <w:bCs/>
        </w:rPr>
        <w:t>Well-crafted corporate messaging should enhance the liquidity of a company's stock because:</w:t>
      </w:r>
    </w:p>
    <w:p w14:paraId="338F04AD" w14:textId="77777777" w:rsidR="009E4392" w:rsidRDefault="009E4392" w:rsidP="009E4392">
      <w:pPr>
        <w:pStyle w:val="ListParagraph"/>
        <w:tabs>
          <w:tab w:val="left" w:pos="360"/>
        </w:tabs>
        <w:autoSpaceDE w:val="0"/>
        <w:autoSpaceDN w:val="0"/>
        <w:adjustRightInd w:val="0"/>
        <w:rPr>
          <w:bCs/>
        </w:rPr>
      </w:pPr>
    </w:p>
    <w:p w14:paraId="10B329FB" w14:textId="77777777" w:rsidR="009E4392" w:rsidRPr="002914EC" w:rsidRDefault="009E4392" w:rsidP="002914E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bCs/>
        </w:rPr>
      </w:pPr>
      <w:r w:rsidRPr="002914EC">
        <w:rPr>
          <w:bCs/>
        </w:rPr>
        <w:t>investors want the most current financial information about the company on a regular basis.</w:t>
      </w:r>
    </w:p>
    <w:p w14:paraId="445E4073" w14:textId="77777777" w:rsidR="009E4392" w:rsidRPr="002914EC" w:rsidRDefault="002914EC" w:rsidP="002914EC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B. </w:t>
      </w:r>
      <w:r w:rsidR="00371904">
        <w:rPr>
          <w:bCs/>
        </w:rPr>
        <w:t xml:space="preserve">   </w:t>
      </w:r>
      <w:r>
        <w:rPr>
          <w:bCs/>
        </w:rPr>
        <w:t>i</w:t>
      </w:r>
      <w:r w:rsidR="009E4392" w:rsidRPr="002914EC">
        <w:rPr>
          <w:bCs/>
        </w:rPr>
        <w:t>t's important to provide head-to-head comparisons with the company's industry peers.</w:t>
      </w:r>
    </w:p>
    <w:p w14:paraId="6EDB5371" w14:textId="77777777" w:rsidR="009E4392" w:rsidRPr="002914EC" w:rsidRDefault="002914EC" w:rsidP="002914EC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>(*)</w:t>
      </w:r>
      <w:r>
        <w:rPr>
          <w:bCs/>
        </w:rPr>
        <w:tab/>
        <w:t xml:space="preserve">C. </w:t>
      </w:r>
      <w:r w:rsidR="00371904">
        <w:rPr>
          <w:bCs/>
        </w:rPr>
        <w:t xml:space="preserve">   </w:t>
      </w:r>
      <w:r w:rsidR="009E4392" w:rsidRPr="002914EC">
        <w:rPr>
          <w:bCs/>
        </w:rPr>
        <w:t>high quality, accessible information can increase the number of analysts following the company.</w:t>
      </w:r>
    </w:p>
    <w:p w14:paraId="6F1D03D1" w14:textId="77777777" w:rsidR="009E4392" w:rsidRPr="002914EC" w:rsidRDefault="002914EC" w:rsidP="002914EC">
      <w:pPr>
        <w:tabs>
          <w:tab w:val="left" w:pos="36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D. </w:t>
      </w:r>
      <w:r w:rsidR="00371904">
        <w:rPr>
          <w:bCs/>
        </w:rPr>
        <w:t xml:space="preserve">   </w:t>
      </w:r>
      <w:r w:rsidR="009E4392" w:rsidRPr="002914EC">
        <w:rPr>
          <w:bCs/>
        </w:rPr>
        <w:t>the use of non-GAAP data can detract from the consistency of the information provided.</w:t>
      </w:r>
    </w:p>
    <w:p w14:paraId="47286D2D" w14:textId="77777777" w:rsidR="00371904" w:rsidRDefault="009E4392">
      <w:r w:rsidRPr="009E4392">
        <w:tab/>
      </w:r>
    </w:p>
    <w:p w14:paraId="74F121C0" w14:textId="77777777" w:rsidR="009E4392" w:rsidRDefault="001F3160" w:rsidP="001F3160">
      <w:r>
        <w:t xml:space="preserve">      </w:t>
      </w:r>
      <w:r w:rsidR="009E4392" w:rsidRPr="009E4392">
        <w:t>Key: C / Content Area: 4. B.</w:t>
      </w:r>
    </w:p>
    <w:p w14:paraId="61A8AAC0" w14:textId="77777777" w:rsidR="009E4392" w:rsidRDefault="009E4392"/>
    <w:p w14:paraId="1EAB6616" w14:textId="77777777" w:rsidR="00A0799E" w:rsidRPr="001F3160" w:rsidRDefault="00A0799E" w:rsidP="00A0799E">
      <w:pPr>
        <w:rPr>
          <w:b/>
        </w:rPr>
      </w:pPr>
      <w:r w:rsidRPr="001F3160">
        <w:rPr>
          <w:b/>
        </w:rPr>
        <w:t>Definitions</w:t>
      </w:r>
      <w:r w:rsidR="001F3160" w:rsidRPr="001F3160">
        <w:rPr>
          <w:b/>
        </w:rPr>
        <w:t>:</w:t>
      </w:r>
    </w:p>
    <w:p w14:paraId="307827C5" w14:textId="77777777" w:rsidR="00371904" w:rsidRDefault="00371904" w:rsidP="00A0799E"/>
    <w:p w14:paraId="0C9A78E0" w14:textId="77777777" w:rsidR="00A0799E" w:rsidRDefault="00A0799E" w:rsidP="00A0799E">
      <w:pPr>
        <w:pStyle w:val="ListParagraph"/>
        <w:numPr>
          <w:ilvl w:val="0"/>
          <w:numId w:val="5"/>
        </w:numPr>
      </w:pPr>
      <w:r>
        <w:t xml:space="preserve">Item: </w:t>
      </w:r>
      <w:r w:rsidRPr="00A0799E">
        <w:t>Question and/or task in examination to which candidates must respond or perform.</w:t>
      </w:r>
      <w:r>
        <w:t xml:space="preserve"> The item can be a direct question or incomplete statement.</w:t>
      </w:r>
      <w:r w:rsidR="001F3160">
        <w:t xml:space="preserve"> The item also includes four possible response options, one correct (“key”), and three incorrect but plausible options (“distractors”).</w:t>
      </w:r>
    </w:p>
    <w:p w14:paraId="1D1BE7B8" w14:textId="77777777" w:rsidR="00A0799E" w:rsidRDefault="00A0799E" w:rsidP="00A0799E">
      <w:pPr>
        <w:pStyle w:val="ListParagraph"/>
        <w:numPr>
          <w:ilvl w:val="0"/>
          <w:numId w:val="5"/>
        </w:numPr>
      </w:pPr>
      <w:r>
        <w:t>Content area: Domain and sub-task found in the IR Competency Framework.</w:t>
      </w:r>
    </w:p>
    <w:p w14:paraId="5295361D" w14:textId="77777777" w:rsidR="00A0799E" w:rsidRDefault="00A0799E"/>
    <w:p w14:paraId="4149E02F" w14:textId="77777777" w:rsidR="00AD1C58" w:rsidRDefault="00AD1C58" w:rsidP="00AD1C58">
      <w:r>
        <w:t>Follow this link to</w:t>
      </w:r>
      <w:r w:rsidR="005A1995" w:rsidRPr="005A1995">
        <w:t xml:space="preserve"> </w:t>
      </w:r>
      <w:r w:rsidR="005A1995">
        <w:t xml:space="preserve">the </w:t>
      </w:r>
      <w:hyperlink r:id="rId10" w:history="1">
        <w:r w:rsidR="005A1995" w:rsidRPr="009E4392">
          <w:rPr>
            <w:rStyle w:val="Hyperlink"/>
          </w:rPr>
          <w:t>IR Competency Framework</w:t>
        </w:r>
      </w:hyperlink>
      <w:r w:rsidR="005A1995">
        <w:t xml:space="preserve">, </w:t>
      </w:r>
      <w:r>
        <w:t xml:space="preserve">the </w:t>
      </w:r>
      <w:hyperlink r:id="rId11" w:history="1">
        <w:r w:rsidRPr="009E4392">
          <w:rPr>
            <w:rStyle w:val="Hyperlink"/>
          </w:rPr>
          <w:t>IRC Examination Blueprint</w:t>
        </w:r>
      </w:hyperlink>
      <w:r>
        <w:t xml:space="preserve">, and the </w:t>
      </w:r>
      <w:hyperlink r:id="rId12" w:history="1">
        <w:r w:rsidRPr="00AD1C58">
          <w:rPr>
            <w:rStyle w:val="Hyperlink"/>
          </w:rPr>
          <w:t>IRC Sample Test</w:t>
        </w:r>
      </w:hyperlink>
      <w:r>
        <w:t>.</w:t>
      </w:r>
    </w:p>
    <w:p w14:paraId="4A2A4942" w14:textId="77777777" w:rsidR="00AD1C58" w:rsidRDefault="00AD1C58"/>
    <w:p w14:paraId="53494F2E" w14:textId="77777777" w:rsidR="00316312" w:rsidRDefault="009E4392" w:rsidP="00BB175D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BB175D" w:rsidRPr="00BB175D">
        <w:rPr>
          <w:b/>
          <w:sz w:val="24"/>
        </w:rPr>
        <w:t>appy Item Writing!</w:t>
      </w:r>
    </w:p>
    <w:p w14:paraId="3E6F6842" w14:textId="77777777" w:rsidR="00AD1C58" w:rsidRDefault="00AD1C58" w:rsidP="00BB175D">
      <w:pPr>
        <w:jc w:val="center"/>
        <w:rPr>
          <w:b/>
          <w:sz w:val="24"/>
        </w:rPr>
      </w:pPr>
    </w:p>
    <w:p w14:paraId="31418324" w14:textId="77777777" w:rsidR="00580BD7" w:rsidRDefault="00580BD7">
      <w:r>
        <w:t xml:space="preserve">Proposed </w:t>
      </w:r>
      <w:r w:rsidR="00A30B00">
        <w:t xml:space="preserve">IRC </w:t>
      </w:r>
      <w:r>
        <w:t>exam</w:t>
      </w:r>
      <w:r w:rsidR="00A30B00">
        <w:t>ination</w:t>
      </w:r>
      <w:r w:rsidR="001E30E6">
        <w:t xml:space="preserve"> item</w:t>
      </w:r>
    </w:p>
    <w:p w14:paraId="6A376C0E" w14:textId="77777777" w:rsidR="00580BD7" w:rsidRDefault="00580BD7" w:rsidP="00403B1C">
      <w:pPr>
        <w:spacing w:line="480" w:lineRule="auto"/>
        <w:rPr>
          <w:color w:val="E7E6E6" w:themeColor="background2"/>
          <w:sz w:val="18"/>
        </w:rPr>
      </w:pPr>
      <w:r w:rsidRPr="00403B1C">
        <w:rPr>
          <w:color w:val="E7E6E6" w:themeColor="background2"/>
          <w:sz w:val="18"/>
        </w:rPr>
        <w:t>……</w:t>
      </w:r>
      <w:r w:rsidR="00A30B00" w:rsidRPr="00403B1C">
        <w:rPr>
          <w:color w:val="E7E6E6" w:themeColor="background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B1C">
        <w:rPr>
          <w:color w:val="E7E6E6" w:themeColor="background2"/>
          <w:sz w:val="18"/>
        </w:rPr>
        <w:t>..</w:t>
      </w:r>
      <w:r w:rsidR="00A30B00" w:rsidRPr="00403B1C">
        <w:rPr>
          <w:color w:val="E7E6E6" w:themeColor="background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03B1C">
        <w:rPr>
          <w:color w:val="E7E6E6" w:themeColor="background2"/>
          <w:sz w:val="18"/>
        </w:rPr>
        <w:t>….</w:t>
      </w:r>
    </w:p>
    <w:p w14:paraId="6B393824" w14:textId="77777777" w:rsidR="00403B1C" w:rsidRDefault="00403B1C" w:rsidP="00403B1C">
      <w:pPr>
        <w:spacing w:line="480" w:lineRule="auto"/>
      </w:pPr>
    </w:p>
    <w:p w14:paraId="0D2B9BDE" w14:textId="77777777" w:rsidR="00580BD7" w:rsidRDefault="00580BD7">
      <w:r>
        <w:t>Multiple choice answers: (Indicate the correct answer with an asterisk)</w:t>
      </w:r>
    </w:p>
    <w:p w14:paraId="5D073E95" w14:textId="77777777" w:rsidR="00580BD7" w:rsidRDefault="00580BD7"/>
    <w:p w14:paraId="79F8B709" w14:textId="30950579" w:rsidR="00580BD7" w:rsidRPr="00403B1C" w:rsidRDefault="003212FB" w:rsidP="00403B1C">
      <w:pPr>
        <w:spacing w:line="480" w:lineRule="auto"/>
        <w:rPr>
          <w:color w:val="E7E6E6" w:themeColor="background2"/>
        </w:rPr>
      </w:pPr>
      <w:r>
        <w:t>(  )</w:t>
      </w:r>
      <w:r w:rsidR="00B26318">
        <w:t xml:space="preserve"> </w:t>
      </w:r>
      <w:r w:rsidR="00580BD7">
        <w:t>A</w:t>
      </w:r>
      <w:r w:rsidR="00A30B00">
        <w:t>.</w:t>
      </w:r>
      <w:r w:rsidR="00403B1C" w:rsidRPr="00403B1C">
        <w:rPr>
          <w:sz w:val="18"/>
        </w:rPr>
        <w:t xml:space="preserve"> </w:t>
      </w:r>
      <w:r w:rsidR="00403B1C" w:rsidRPr="00403B1C">
        <w:rPr>
          <w:color w:val="E7E6E6" w:themeColor="background2"/>
          <w:sz w:val="18"/>
        </w:rPr>
        <w:t>…</w:t>
      </w:r>
      <w:r w:rsidR="00F77042" w:rsidRPr="00403B1C">
        <w:rPr>
          <w:color w:val="E7E6E6" w:themeColor="background2"/>
          <w:sz w:val="18"/>
        </w:rPr>
        <w:t xml:space="preserve"> </w:t>
      </w:r>
      <w:r w:rsidR="00403B1C" w:rsidRPr="00403B1C">
        <w:rPr>
          <w:color w:val="E7E6E6" w:themeColor="background2"/>
          <w:sz w:val="18"/>
        </w:rPr>
        <w:t>………………………………………………………………………………………………………………</w:t>
      </w:r>
    </w:p>
    <w:p w14:paraId="5592DD76" w14:textId="125E8D66" w:rsidR="00580BD7" w:rsidRDefault="003212FB" w:rsidP="00403B1C">
      <w:pPr>
        <w:spacing w:line="480" w:lineRule="auto"/>
      </w:pPr>
      <w:r>
        <w:t>(  )</w:t>
      </w:r>
      <w:r w:rsidR="00B26318">
        <w:t xml:space="preserve"> </w:t>
      </w:r>
      <w:r w:rsidR="00580BD7">
        <w:t>B</w:t>
      </w:r>
      <w:r w:rsidR="00A30B00">
        <w:t>.</w:t>
      </w:r>
      <w:r w:rsidR="00A30B00" w:rsidRPr="00403B1C">
        <w:rPr>
          <w:color w:val="E7E6E6" w:themeColor="background2"/>
        </w:rPr>
        <w:t xml:space="preserve"> </w:t>
      </w:r>
      <w:r w:rsidR="00403B1C" w:rsidRPr="00403B1C">
        <w:rPr>
          <w:color w:val="E7E6E6" w:themeColor="background2"/>
          <w:sz w:val="18"/>
        </w:rPr>
        <w:t>…</w:t>
      </w:r>
      <w:r w:rsidR="00F77042" w:rsidRPr="00403B1C">
        <w:rPr>
          <w:color w:val="E7E6E6" w:themeColor="background2"/>
          <w:sz w:val="18"/>
        </w:rPr>
        <w:t xml:space="preserve"> </w:t>
      </w:r>
      <w:r w:rsidR="00403B1C" w:rsidRPr="00403B1C">
        <w:rPr>
          <w:color w:val="E7E6E6" w:themeColor="background2"/>
          <w:sz w:val="18"/>
        </w:rPr>
        <w:t>……………………………………………………………………………………………………………….</w:t>
      </w:r>
    </w:p>
    <w:p w14:paraId="7E46E82E" w14:textId="6AC3C746" w:rsidR="00580BD7" w:rsidRDefault="003212FB" w:rsidP="00403B1C">
      <w:pPr>
        <w:spacing w:line="480" w:lineRule="auto"/>
      </w:pPr>
      <w:r>
        <w:t>(  )</w:t>
      </w:r>
      <w:r w:rsidR="00B26318">
        <w:t xml:space="preserve"> </w:t>
      </w:r>
      <w:r w:rsidR="00580BD7">
        <w:t>C</w:t>
      </w:r>
      <w:r w:rsidR="00A30B00">
        <w:t>.</w:t>
      </w:r>
      <w:r w:rsidR="00403B1C" w:rsidRPr="00403B1C">
        <w:rPr>
          <w:color w:val="E7E6E6" w:themeColor="background2"/>
        </w:rPr>
        <w:t xml:space="preserve"> </w:t>
      </w:r>
      <w:r w:rsidR="00403B1C" w:rsidRPr="00403B1C">
        <w:rPr>
          <w:color w:val="E7E6E6" w:themeColor="background2"/>
          <w:sz w:val="18"/>
        </w:rPr>
        <w:t>……</w:t>
      </w:r>
      <w:r w:rsidR="00F77042" w:rsidRPr="00403B1C">
        <w:rPr>
          <w:color w:val="E7E6E6" w:themeColor="background2"/>
          <w:sz w:val="18"/>
        </w:rPr>
        <w:t xml:space="preserve"> </w:t>
      </w:r>
      <w:r w:rsidR="00403B1C" w:rsidRPr="00403B1C">
        <w:rPr>
          <w:color w:val="E7E6E6" w:themeColor="background2"/>
          <w:sz w:val="18"/>
        </w:rPr>
        <w:t>……………………………………………………………………………………………………………</w:t>
      </w:r>
    </w:p>
    <w:p w14:paraId="014637A2" w14:textId="6EC897C0" w:rsidR="00580BD7" w:rsidRDefault="003212FB" w:rsidP="00403B1C">
      <w:pPr>
        <w:spacing w:line="480" w:lineRule="auto"/>
      </w:pPr>
      <w:r>
        <w:t>(  )</w:t>
      </w:r>
      <w:r w:rsidR="00B26318">
        <w:t xml:space="preserve"> </w:t>
      </w:r>
      <w:r w:rsidR="00580BD7">
        <w:t>D</w:t>
      </w:r>
      <w:r w:rsidR="00A30B00">
        <w:t>.</w:t>
      </w:r>
      <w:r w:rsidR="009E4392" w:rsidRPr="009E4392">
        <w:t xml:space="preserve"> </w:t>
      </w:r>
      <w:r w:rsidR="00403B1C" w:rsidRPr="00403B1C">
        <w:rPr>
          <w:color w:val="E7E6E6" w:themeColor="background2"/>
          <w:sz w:val="18"/>
        </w:rPr>
        <w:t>……</w:t>
      </w:r>
      <w:r w:rsidR="00F77042" w:rsidRPr="00403B1C">
        <w:rPr>
          <w:color w:val="E7E6E6" w:themeColor="background2"/>
          <w:sz w:val="18"/>
        </w:rPr>
        <w:t xml:space="preserve"> </w:t>
      </w:r>
      <w:r w:rsidR="00403B1C" w:rsidRPr="00403B1C">
        <w:rPr>
          <w:color w:val="E7E6E6" w:themeColor="background2"/>
          <w:sz w:val="18"/>
        </w:rPr>
        <w:t>………………………………………………………………………………………………………</w:t>
      </w:r>
      <w:r w:rsidR="00F77042">
        <w:rPr>
          <w:color w:val="E7E6E6" w:themeColor="background2"/>
          <w:sz w:val="18"/>
        </w:rPr>
        <w:t>……</w:t>
      </w:r>
    </w:p>
    <w:p w14:paraId="7DD0EC55" w14:textId="77777777" w:rsidR="00580BD7" w:rsidRDefault="00580BD7"/>
    <w:p w14:paraId="530778B5" w14:textId="77777777" w:rsidR="00403B1C" w:rsidRDefault="00403B1C"/>
    <w:p w14:paraId="60AE987C" w14:textId="65036B83" w:rsidR="00403B1C" w:rsidRDefault="00580BD7">
      <w:pPr>
        <w:rPr>
          <w:color w:val="E7E6E6" w:themeColor="background2"/>
          <w:sz w:val="18"/>
        </w:rPr>
      </w:pPr>
      <w:r>
        <w:t>Item intended for the</w:t>
      </w:r>
      <w:r w:rsidR="009E4392">
        <w:t xml:space="preserve"> content area of the</w:t>
      </w:r>
      <w:r>
        <w:t xml:space="preserve"> IR domain of practice</w:t>
      </w:r>
      <w:r w:rsidRPr="00403B1C">
        <w:rPr>
          <w:color w:val="E7E6E6" w:themeColor="background2"/>
        </w:rPr>
        <w:t xml:space="preserve"> </w:t>
      </w:r>
      <w:r w:rsidR="00A30B00" w:rsidRPr="00403B1C">
        <w:rPr>
          <w:color w:val="E7E6E6" w:themeColor="background2"/>
          <w:sz w:val="18"/>
        </w:rPr>
        <w:t>…</w:t>
      </w:r>
      <w:r w:rsidR="00F77042" w:rsidRPr="00403B1C">
        <w:rPr>
          <w:color w:val="E7E6E6" w:themeColor="background2"/>
          <w:sz w:val="18"/>
        </w:rPr>
        <w:t xml:space="preserve"> </w:t>
      </w:r>
      <w:r w:rsidR="00A30B00" w:rsidRPr="00403B1C">
        <w:rPr>
          <w:color w:val="E7E6E6" w:themeColor="background2"/>
          <w:sz w:val="18"/>
        </w:rPr>
        <w:t>………………………………</w:t>
      </w:r>
      <w:r w:rsidR="00403B1C">
        <w:rPr>
          <w:color w:val="E7E6E6" w:themeColor="background2"/>
          <w:sz w:val="18"/>
        </w:rPr>
        <w:t>……………………</w:t>
      </w:r>
    </w:p>
    <w:p w14:paraId="251CB9FF" w14:textId="77777777" w:rsidR="00580BD7" w:rsidRPr="00403B1C" w:rsidRDefault="00580BD7">
      <w:pPr>
        <w:rPr>
          <w:color w:val="AEAAAA" w:themeColor="background2" w:themeShade="BF"/>
          <w:sz w:val="18"/>
        </w:rPr>
      </w:pPr>
      <w:r w:rsidRPr="00403B1C">
        <w:rPr>
          <w:color w:val="AEAAAA" w:themeColor="background2" w:themeShade="BF"/>
          <w:sz w:val="18"/>
        </w:rPr>
        <w:t>(e.g. Domain 1-A-3)</w:t>
      </w:r>
    </w:p>
    <w:p w14:paraId="5A182328" w14:textId="77777777" w:rsidR="00580BD7" w:rsidRDefault="00580BD7"/>
    <w:p w14:paraId="6B09A639" w14:textId="77777777" w:rsidR="00403B1C" w:rsidRDefault="00403B1C"/>
    <w:p w14:paraId="6C3AB9BD" w14:textId="77777777" w:rsidR="00403B1C" w:rsidRDefault="00403B1C"/>
    <w:p w14:paraId="23F46A31" w14:textId="74BFC9C6" w:rsidR="00580BD7" w:rsidRDefault="00580BD7">
      <w:r>
        <w:t>Reference used to verify answer</w:t>
      </w:r>
      <w:r w:rsidR="00A30B00">
        <w:t xml:space="preserve"> </w:t>
      </w:r>
      <w:r w:rsidR="00A30B00" w:rsidRPr="00403B1C">
        <w:rPr>
          <w:color w:val="E7E6E6" w:themeColor="background2"/>
          <w:sz w:val="18"/>
        </w:rPr>
        <w:t>…</w:t>
      </w:r>
      <w:r w:rsidR="00F77042" w:rsidRPr="00403B1C">
        <w:rPr>
          <w:color w:val="E7E6E6" w:themeColor="background2"/>
          <w:sz w:val="18"/>
        </w:rPr>
        <w:t xml:space="preserve"> </w:t>
      </w:r>
      <w:r w:rsidR="00A30B00" w:rsidRPr="00403B1C">
        <w:rPr>
          <w:color w:val="E7E6E6" w:themeColor="background2"/>
          <w:sz w:val="18"/>
        </w:rPr>
        <w:t>………………………</w:t>
      </w:r>
      <w:r w:rsidR="00403B1C">
        <w:rPr>
          <w:color w:val="E7E6E6" w:themeColor="background2"/>
          <w:sz w:val="18"/>
        </w:rPr>
        <w:t>……………………….</w:t>
      </w:r>
    </w:p>
    <w:p w14:paraId="729AAE3E" w14:textId="77777777" w:rsidR="00580BD7" w:rsidRDefault="00580BD7"/>
    <w:p w14:paraId="331B7590" w14:textId="77777777" w:rsidR="00403B1C" w:rsidRDefault="00403B1C"/>
    <w:p w14:paraId="3F79E4A9" w14:textId="77777777" w:rsidR="00403B1C" w:rsidRDefault="00403B1C"/>
    <w:p w14:paraId="42460EF2" w14:textId="071FE22B" w:rsidR="00580BD7" w:rsidRDefault="00580BD7">
      <w:r>
        <w:t>Item submitted by (</w:t>
      </w:r>
      <w:r w:rsidR="001F3160">
        <w:t>full name of certificant</w:t>
      </w:r>
      <w:r>
        <w:t>)</w:t>
      </w:r>
      <w:r w:rsidR="00A30B00" w:rsidRPr="00403B1C">
        <w:rPr>
          <w:color w:val="E7E6E6" w:themeColor="background2"/>
          <w:sz w:val="18"/>
        </w:rPr>
        <w:t xml:space="preserve"> </w:t>
      </w:r>
      <w:r w:rsidRPr="00403B1C">
        <w:rPr>
          <w:color w:val="E7E6E6" w:themeColor="background2"/>
          <w:sz w:val="18"/>
        </w:rPr>
        <w:t>…</w:t>
      </w:r>
      <w:r w:rsidR="00F77042" w:rsidRPr="00403B1C">
        <w:rPr>
          <w:color w:val="E7E6E6" w:themeColor="background2"/>
          <w:sz w:val="18"/>
        </w:rPr>
        <w:t xml:space="preserve"> </w:t>
      </w:r>
      <w:r w:rsidR="00A30B00" w:rsidRPr="00403B1C">
        <w:rPr>
          <w:color w:val="E7E6E6" w:themeColor="background2"/>
          <w:sz w:val="18"/>
        </w:rPr>
        <w:t>……………………………………………………………...</w:t>
      </w:r>
      <w:r w:rsidR="00403B1C">
        <w:rPr>
          <w:color w:val="E7E6E6" w:themeColor="background2"/>
          <w:sz w:val="18"/>
        </w:rPr>
        <w:t>...................</w:t>
      </w:r>
    </w:p>
    <w:p w14:paraId="14B834CE" w14:textId="77777777" w:rsidR="00580BD7" w:rsidRPr="00403B1C" w:rsidRDefault="00580BD7">
      <w:pPr>
        <w:rPr>
          <w:color w:val="AEAAAA" w:themeColor="background2" w:themeShade="BF"/>
          <w:sz w:val="18"/>
        </w:rPr>
      </w:pPr>
      <w:r w:rsidRPr="00403B1C">
        <w:rPr>
          <w:color w:val="AEAAAA" w:themeColor="background2" w:themeShade="BF"/>
          <w:sz w:val="18"/>
        </w:rPr>
        <w:t xml:space="preserve">Full name must be provided to claim this submission for PDUs towards IRC certification renewal. </w:t>
      </w:r>
    </w:p>
    <w:p w14:paraId="79CE82F9" w14:textId="77777777" w:rsidR="00580BD7" w:rsidRDefault="00580BD7"/>
    <w:p w14:paraId="028376E2" w14:textId="77777777" w:rsidR="00A30B00" w:rsidRDefault="00A30B00"/>
    <w:p w14:paraId="08746949" w14:textId="77777777" w:rsidR="00403B1C" w:rsidRDefault="00403B1C"/>
    <w:p w14:paraId="29C3AA6A" w14:textId="0B4D218A" w:rsidR="007224B0" w:rsidRDefault="00403B1C">
      <w:pPr>
        <w:rPr>
          <w:color w:val="E7E6E6" w:themeColor="background2"/>
          <w:sz w:val="18"/>
        </w:rPr>
      </w:pPr>
      <w:r>
        <w:t xml:space="preserve">Submission </w:t>
      </w:r>
      <w:r w:rsidR="00580BD7">
        <w:t>Date</w:t>
      </w:r>
      <w:r w:rsidRPr="00403B1C">
        <w:rPr>
          <w:color w:val="E7E6E6" w:themeColor="background2"/>
          <w:sz w:val="18"/>
        </w:rPr>
        <w:t>………………………………………..</w:t>
      </w:r>
    </w:p>
    <w:sectPr w:rsidR="007224B0" w:rsidSect="00B2631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06" w:right="1440" w:bottom="1440" w:left="1440" w:header="72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7760" w14:textId="77777777" w:rsidR="002D37FC" w:rsidRDefault="002D37FC" w:rsidP="00580BD7">
      <w:r>
        <w:separator/>
      </w:r>
    </w:p>
  </w:endnote>
  <w:endnote w:type="continuationSeparator" w:id="0">
    <w:p w14:paraId="6F923F36" w14:textId="77777777" w:rsidR="002D37FC" w:rsidRDefault="002D37FC" w:rsidP="0058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20B4" w14:textId="77777777" w:rsidR="001E30E6" w:rsidRDefault="001E30E6" w:rsidP="00A30B00">
    <w:pPr>
      <w:pStyle w:val="Footer"/>
      <w:jc w:val="center"/>
      <w:rPr>
        <w:color w:val="AEAAAA" w:themeColor="background2" w:themeShade="BF"/>
        <w:sz w:val="18"/>
      </w:rPr>
    </w:pPr>
  </w:p>
  <w:p w14:paraId="5C8D8429" w14:textId="77777777" w:rsidR="001E30E6" w:rsidRDefault="001E30E6" w:rsidP="00A30B00">
    <w:pPr>
      <w:pStyle w:val="Footer"/>
      <w:jc w:val="center"/>
      <w:rPr>
        <w:color w:val="AEAAAA" w:themeColor="background2" w:themeShade="BF"/>
        <w:sz w:val="18"/>
      </w:rPr>
    </w:pPr>
  </w:p>
  <w:p w14:paraId="03569077" w14:textId="7320ACFD" w:rsidR="00A30B00" w:rsidRPr="00403B1C" w:rsidRDefault="00A30B00" w:rsidP="00F77042">
    <w:pPr>
      <w:pStyle w:val="Footer"/>
      <w:tabs>
        <w:tab w:val="clear" w:pos="4680"/>
        <w:tab w:val="clear" w:pos="9360"/>
        <w:tab w:val="left" w:pos="8565"/>
      </w:tabs>
      <w:rPr>
        <w:color w:val="AEAAAA" w:themeColor="background2" w:themeShade="BF"/>
        <w:sz w:val="18"/>
      </w:rPr>
    </w:pPr>
    <w:r w:rsidRPr="00403B1C">
      <w:rPr>
        <w:color w:val="AEAAAA" w:themeColor="background2" w:themeShade="BF"/>
        <w:sz w:val="18"/>
      </w:rPr>
      <w:t>Submit electronically to certi</w:t>
    </w:r>
    <w:r w:rsidR="00CD2E35">
      <w:rPr>
        <w:color w:val="AEAAAA" w:themeColor="background2" w:themeShade="BF"/>
        <w:sz w:val="18"/>
      </w:rPr>
      <w:t xml:space="preserve">fication@niri.org </w:t>
    </w:r>
    <w:r w:rsidR="00F77042">
      <w:rPr>
        <w:color w:val="AEAAAA" w:themeColor="background2" w:themeShade="BF"/>
        <w:sz w:val="18"/>
      </w:rPr>
      <w:tab/>
      <w:t>04052022</w:t>
    </w:r>
  </w:p>
  <w:p w14:paraId="2AF0DEDA" w14:textId="77777777" w:rsidR="00A30B00" w:rsidRDefault="00A30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8F0" w14:textId="77777777" w:rsidR="00403B1C" w:rsidRPr="00403B1C" w:rsidRDefault="00403B1C" w:rsidP="00403B1C">
    <w:pPr>
      <w:pStyle w:val="Footer"/>
      <w:jc w:val="center"/>
      <w:rPr>
        <w:color w:val="AEAAAA" w:themeColor="background2" w:themeShade="BF"/>
        <w:sz w:val="18"/>
      </w:rPr>
    </w:pPr>
    <w:r w:rsidRPr="00403B1C">
      <w:rPr>
        <w:color w:val="AEAAAA" w:themeColor="background2" w:themeShade="BF"/>
        <w:sz w:val="18"/>
      </w:rPr>
      <w:t>NIRI - Investor Relations Charter</w:t>
    </w:r>
    <w:r w:rsidR="00B26318">
      <w:rPr>
        <w:color w:val="AEAAAA" w:themeColor="background2" w:themeShade="BF"/>
        <w:sz w:val="18"/>
      </w:rPr>
      <w:t>®</w:t>
    </w:r>
  </w:p>
  <w:p w14:paraId="7844DE18" w14:textId="77777777" w:rsidR="00403B1C" w:rsidRDefault="0040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BA1" w14:textId="77777777" w:rsidR="002D37FC" w:rsidRDefault="002D37FC" w:rsidP="00580BD7">
      <w:r>
        <w:separator/>
      </w:r>
    </w:p>
  </w:footnote>
  <w:footnote w:type="continuationSeparator" w:id="0">
    <w:p w14:paraId="78839CAB" w14:textId="77777777" w:rsidR="002D37FC" w:rsidRDefault="002D37FC" w:rsidP="0058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D82C" w14:textId="292DF207" w:rsidR="00A30B00" w:rsidRDefault="00F77042">
    <w:pPr>
      <w:pStyle w:val="Header"/>
      <w:rPr>
        <w:b/>
        <w:bCs/>
        <w:color w:val="323E4F" w:themeColor="text2" w:themeShade="BF"/>
        <w:sz w:val="32"/>
        <w:szCs w:val="28"/>
      </w:rPr>
    </w:pPr>
    <w:r w:rsidRPr="00F77042">
      <w:rPr>
        <w:b/>
        <w:bCs/>
        <w:color w:val="323E4F" w:themeColor="text2" w:themeShade="BF"/>
        <w:sz w:val="32"/>
        <w:szCs w:val="28"/>
      </w:rPr>
      <w:t>IRC ITEM SUBMITTAL FORM</w:t>
    </w:r>
  </w:p>
  <w:p w14:paraId="62AAB721" w14:textId="22371EAB" w:rsidR="00F77042" w:rsidRPr="00F77042" w:rsidRDefault="00F77042">
    <w:pPr>
      <w:pStyle w:val="Header"/>
      <w:rPr>
        <w:b/>
        <w:bCs/>
        <w:color w:val="323E4F" w:themeColor="text2" w:themeShade="BF"/>
        <w:sz w:val="28"/>
        <w:szCs w:val="28"/>
      </w:rPr>
    </w:pPr>
    <w:r>
      <w:rPr>
        <w:b/>
        <w:bCs/>
        <w:noProof/>
        <w:color w:val="44546A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0492F" wp14:editId="2FDC5BFB">
              <wp:simplePos x="0" y="0"/>
              <wp:positionH relativeFrom="column">
                <wp:posOffset>-57150</wp:posOffset>
              </wp:positionH>
              <wp:positionV relativeFrom="paragraph">
                <wp:posOffset>170815</wp:posOffset>
              </wp:positionV>
              <wp:extent cx="61150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1CDD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" strokecolor="#00b0f0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2F6A" w14:textId="43C159EE" w:rsidR="00F77042" w:rsidRPr="00F77042" w:rsidRDefault="00F77042" w:rsidP="00F77042">
    <w:pPr>
      <w:pStyle w:val="Header"/>
      <w:rPr>
        <w:color w:val="323E4F" w:themeColor="text2" w:themeShade="BF"/>
        <w:sz w:val="32"/>
        <w:szCs w:val="32"/>
      </w:rPr>
    </w:pPr>
    <w:r>
      <w:rPr>
        <w:noProof/>
        <w:color w:val="44546A" w:themeColor="text2"/>
        <w:sz w:val="32"/>
        <w:szCs w:val="32"/>
      </w:rPr>
      <w:drawing>
        <wp:anchor distT="0" distB="0" distL="114300" distR="114300" simplePos="0" relativeHeight="251658240" behindDoc="0" locked="0" layoutInCell="1" allowOverlap="1" wp14:anchorId="0CB287E9" wp14:editId="6D7698F7">
          <wp:simplePos x="0" y="0"/>
          <wp:positionH relativeFrom="column">
            <wp:posOffset>4476750</wp:posOffset>
          </wp:positionH>
          <wp:positionV relativeFrom="paragraph">
            <wp:posOffset>-114300</wp:posOffset>
          </wp:positionV>
          <wp:extent cx="1828800" cy="582295"/>
          <wp:effectExtent l="0" t="0" r="0" b="825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042">
      <w:rPr>
        <w:b/>
        <w:noProof/>
        <w:color w:val="323E4F" w:themeColor="text2" w:themeShade="BF"/>
        <w:sz w:val="32"/>
        <w:szCs w:val="32"/>
      </w:rPr>
      <w:t>GUIDELINES FOR WRITING IRC EXAMINATION ITEMS</w:t>
    </w:r>
  </w:p>
  <w:p w14:paraId="67853F05" w14:textId="6BA3E19D" w:rsidR="00580BD7" w:rsidRDefault="00580BD7" w:rsidP="00580BD7">
    <w:pPr>
      <w:pStyle w:val="Header"/>
      <w:rPr>
        <w:b/>
        <w:noProof/>
        <w:color w:val="323E4F" w:themeColor="text2" w:themeShade="BF"/>
        <w:sz w:val="36"/>
        <w:szCs w:val="28"/>
      </w:rPr>
    </w:pPr>
  </w:p>
  <w:p w14:paraId="0913424B" w14:textId="7502F947" w:rsidR="00F77042" w:rsidRPr="00F77042" w:rsidRDefault="00F77042" w:rsidP="00580BD7">
    <w:pPr>
      <w:pStyle w:val="Header"/>
      <w:rPr>
        <w:b/>
        <w:noProof/>
        <w:color w:val="323E4F" w:themeColor="text2" w:themeShade="BF"/>
        <w:sz w:val="36"/>
        <w:szCs w:val="28"/>
      </w:rPr>
    </w:pPr>
    <w:r>
      <w:rPr>
        <w:b/>
        <w:noProof/>
        <w:color w:val="44546A" w:themeColor="text2"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2012C" wp14:editId="69D9731A">
              <wp:simplePos x="0" y="0"/>
              <wp:positionH relativeFrom="column">
                <wp:posOffset>104775</wp:posOffset>
              </wp:positionH>
              <wp:positionV relativeFrom="paragraph">
                <wp:posOffset>73024</wp:posOffset>
              </wp:positionV>
              <wp:extent cx="61436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3094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5.75pt" to="49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" strokecolor="#00b0f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FE6"/>
    <w:multiLevelType w:val="hybridMultilevel"/>
    <w:tmpl w:val="088E6C32"/>
    <w:lvl w:ilvl="0" w:tplc="3EC8F5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2B1B"/>
    <w:multiLevelType w:val="hybridMultilevel"/>
    <w:tmpl w:val="FD3A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5CAD"/>
    <w:multiLevelType w:val="hybridMultilevel"/>
    <w:tmpl w:val="B5C02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40C8"/>
    <w:multiLevelType w:val="hybridMultilevel"/>
    <w:tmpl w:val="1506006C"/>
    <w:lvl w:ilvl="0" w:tplc="9BC42EB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7ECA"/>
    <w:multiLevelType w:val="hybridMultilevel"/>
    <w:tmpl w:val="E0BC3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AA"/>
    <w:rsid w:val="0000621B"/>
    <w:rsid w:val="00012440"/>
    <w:rsid w:val="00020486"/>
    <w:rsid w:val="00021758"/>
    <w:rsid w:val="00023A1C"/>
    <w:rsid w:val="00047AAC"/>
    <w:rsid w:val="00053A5C"/>
    <w:rsid w:val="000549F6"/>
    <w:rsid w:val="000718F7"/>
    <w:rsid w:val="000D030A"/>
    <w:rsid w:val="00110445"/>
    <w:rsid w:val="0011600C"/>
    <w:rsid w:val="00150415"/>
    <w:rsid w:val="00163ED3"/>
    <w:rsid w:val="00165FFC"/>
    <w:rsid w:val="00176993"/>
    <w:rsid w:val="0019658D"/>
    <w:rsid w:val="001B1261"/>
    <w:rsid w:val="001B5E30"/>
    <w:rsid w:val="001B6BED"/>
    <w:rsid w:val="001C5BDA"/>
    <w:rsid w:val="001E30E6"/>
    <w:rsid w:val="001E68CD"/>
    <w:rsid w:val="001F3160"/>
    <w:rsid w:val="001F748C"/>
    <w:rsid w:val="00206447"/>
    <w:rsid w:val="00214A29"/>
    <w:rsid w:val="0023463A"/>
    <w:rsid w:val="002571EA"/>
    <w:rsid w:val="00280103"/>
    <w:rsid w:val="002834AA"/>
    <w:rsid w:val="002914EC"/>
    <w:rsid w:val="0029627C"/>
    <w:rsid w:val="002A6D5C"/>
    <w:rsid w:val="002D37FC"/>
    <w:rsid w:val="002F161B"/>
    <w:rsid w:val="00316312"/>
    <w:rsid w:val="003212FB"/>
    <w:rsid w:val="00345DD5"/>
    <w:rsid w:val="00347274"/>
    <w:rsid w:val="00371904"/>
    <w:rsid w:val="00371F3C"/>
    <w:rsid w:val="003741A1"/>
    <w:rsid w:val="00386F04"/>
    <w:rsid w:val="003B0B6A"/>
    <w:rsid w:val="003B6856"/>
    <w:rsid w:val="003F1CB8"/>
    <w:rsid w:val="00403646"/>
    <w:rsid w:val="00403B1C"/>
    <w:rsid w:val="00433347"/>
    <w:rsid w:val="00444534"/>
    <w:rsid w:val="00453BC4"/>
    <w:rsid w:val="004724EC"/>
    <w:rsid w:val="00473221"/>
    <w:rsid w:val="00496B3B"/>
    <w:rsid w:val="00496BC5"/>
    <w:rsid w:val="004A18DA"/>
    <w:rsid w:val="004A3F3E"/>
    <w:rsid w:val="004B05F4"/>
    <w:rsid w:val="004B2A2E"/>
    <w:rsid w:val="004B7334"/>
    <w:rsid w:val="004F3335"/>
    <w:rsid w:val="004F5E64"/>
    <w:rsid w:val="00524796"/>
    <w:rsid w:val="00535BC7"/>
    <w:rsid w:val="00580BD7"/>
    <w:rsid w:val="00580C22"/>
    <w:rsid w:val="0058544F"/>
    <w:rsid w:val="005A1995"/>
    <w:rsid w:val="005C7A00"/>
    <w:rsid w:val="005D0091"/>
    <w:rsid w:val="005F32CD"/>
    <w:rsid w:val="00607E9F"/>
    <w:rsid w:val="00625A93"/>
    <w:rsid w:val="0065336C"/>
    <w:rsid w:val="0066780C"/>
    <w:rsid w:val="006A7EEF"/>
    <w:rsid w:val="006C2BDA"/>
    <w:rsid w:val="006D3A0B"/>
    <w:rsid w:val="006F29E5"/>
    <w:rsid w:val="007224B0"/>
    <w:rsid w:val="007313F9"/>
    <w:rsid w:val="0073522D"/>
    <w:rsid w:val="00755AF6"/>
    <w:rsid w:val="0076464E"/>
    <w:rsid w:val="00764849"/>
    <w:rsid w:val="00777546"/>
    <w:rsid w:val="007B0AD5"/>
    <w:rsid w:val="007B2BD5"/>
    <w:rsid w:val="007C1636"/>
    <w:rsid w:val="008514F0"/>
    <w:rsid w:val="0087078B"/>
    <w:rsid w:val="00891DE3"/>
    <w:rsid w:val="008A59FF"/>
    <w:rsid w:val="008C7A25"/>
    <w:rsid w:val="009276F4"/>
    <w:rsid w:val="0093442A"/>
    <w:rsid w:val="0095366B"/>
    <w:rsid w:val="009630DD"/>
    <w:rsid w:val="009840E8"/>
    <w:rsid w:val="00994C17"/>
    <w:rsid w:val="009C4C75"/>
    <w:rsid w:val="009E4392"/>
    <w:rsid w:val="00A05757"/>
    <w:rsid w:val="00A0799E"/>
    <w:rsid w:val="00A24025"/>
    <w:rsid w:val="00A30B00"/>
    <w:rsid w:val="00A30EC0"/>
    <w:rsid w:val="00A43D15"/>
    <w:rsid w:val="00A52067"/>
    <w:rsid w:val="00A60E2F"/>
    <w:rsid w:val="00A710C1"/>
    <w:rsid w:val="00A953AB"/>
    <w:rsid w:val="00A95E9F"/>
    <w:rsid w:val="00AD1C58"/>
    <w:rsid w:val="00AD246A"/>
    <w:rsid w:val="00B26318"/>
    <w:rsid w:val="00B36A8B"/>
    <w:rsid w:val="00B379A3"/>
    <w:rsid w:val="00B50C09"/>
    <w:rsid w:val="00B52685"/>
    <w:rsid w:val="00BB175D"/>
    <w:rsid w:val="00BD0A18"/>
    <w:rsid w:val="00BE296B"/>
    <w:rsid w:val="00BE38B4"/>
    <w:rsid w:val="00C0764F"/>
    <w:rsid w:val="00C43F52"/>
    <w:rsid w:val="00C736FB"/>
    <w:rsid w:val="00C739B6"/>
    <w:rsid w:val="00C85D59"/>
    <w:rsid w:val="00C87561"/>
    <w:rsid w:val="00CA466B"/>
    <w:rsid w:val="00CB5CAA"/>
    <w:rsid w:val="00CD2E35"/>
    <w:rsid w:val="00CE762F"/>
    <w:rsid w:val="00CF46B3"/>
    <w:rsid w:val="00D2665D"/>
    <w:rsid w:val="00D37D41"/>
    <w:rsid w:val="00D41AC3"/>
    <w:rsid w:val="00D94324"/>
    <w:rsid w:val="00DB0A4D"/>
    <w:rsid w:val="00DB3866"/>
    <w:rsid w:val="00DF533D"/>
    <w:rsid w:val="00E22F5E"/>
    <w:rsid w:val="00E31B94"/>
    <w:rsid w:val="00E402BB"/>
    <w:rsid w:val="00E56AD3"/>
    <w:rsid w:val="00E72D71"/>
    <w:rsid w:val="00E77B75"/>
    <w:rsid w:val="00E849C6"/>
    <w:rsid w:val="00ED52B2"/>
    <w:rsid w:val="00EE5F29"/>
    <w:rsid w:val="00F164C5"/>
    <w:rsid w:val="00F361DC"/>
    <w:rsid w:val="00F41259"/>
    <w:rsid w:val="00F4474E"/>
    <w:rsid w:val="00F508DE"/>
    <w:rsid w:val="00F57490"/>
    <w:rsid w:val="00F77042"/>
    <w:rsid w:val="00F9249D"/>
    <w:rsid w:val="00FB5B13"/>
    <w:rsid w:val="00FC0AE2"/>
    <w:rsid w:val="00FD04D7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ED01"/>
  <w15:chartTrackingRefBased/>
  <w15:docId w15:val="{6A27DDF1-092B-48DF-846C-BF7EF59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D7"/>
  </w:style>
  <w:style w:type="paragraph" w:styleId="Footer">
    <w:name w:val="footer"/>
    <w:basedOn w:val="Normal"/>
    <w:link w:val="FooterChar"/>
    <w:uiPriority w:val="99"/>
    <w:unhideWhenUsed/>
    <w:rsid w:val="0058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D7"/>
  </w:style>
  <w:style w:type="paragraph" w:styleId="ListParagraph">
    <w:name w:val="List Paragraph"/>
    <w:basedOn w:val="Normal"/>
    <w:uiPriority w:val="34"/>
    <w:qFormat/>
    <w:rsid w:val="00A30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39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439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1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ri.org/certification/resources-library/irc-sample-te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ri.org/certification/irc-examination-informatio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iri.org/NIRI/media/NIRI/Certification/IR-Competency-Framework-1110201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83C03-C990-4BA6-9D07-8F4ADB822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E89D7-37CF-477A-82FC-5D911CB88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94187-E580-44DA-A3AA-866988620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Hannon</dc:creator>
  <cp:keywords/>
  <dc:description/>
  <cp:lastModifiedBy>Iman Hannon</cp:lastModifiedBy>
  <cp:revision>134</cp:revision>
  <dcterms:created xsi:type="dcterms:W3CDTF">2019-08-13T22:55:00Z</dcterms:created>
  <dcterms:modified xsi:type="dcterms:W3CDTF">2022-04-05T20:02:00Z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358000</vt:r8>
  </property>
</Properties>
</file>